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AB3BC" w14:textId="3008B3D7" w:rsidR="000F0BF6" w:rsidRPr="000F0BF6" w:rsidRDefault="009456CC" w:rsidP="000F0BF6">
      <w:pPr>
        <w:widowControl w:val="0"/>
        <w:autoSpaceDE w:val="0"/>
        <w:autoSpaceDN w:val="0"/>
        <w:adjustRightInd w:val="0"/>
        <w:spacing w:after="0" w:line="240" w:lineRule="auto"/>
        <w:jc w:val="right"/>
        <w:rPr>
          <w:rFonts w:ascii="Arial" w:hAnsi="Arial" w:cs="Arial"/>
        </w:rPr>
      </w:pPr>
      <w:r>
        <w:rPr>
          <w:rFonts w:ascii="Arial" w:hAnsi="Arial" w:cs="Arial"/>
        </w:rPr>
        <w:t xml:space="preserve">Madrid, </w:t>
      </w:r>
      <w:r w:rsidR="007C3E3B">
        <w:rPr>
          <w:rFonts w:ascii="Arial" w:hAnsi="Arial" w:cs="Arial"/>
        </w:rPr>
        <w:t>1</w:t>
      </w:r>
      <w:r w:rsidR="00E229BF">
        <w:rPr>
          <w:rFonts w:ascii="Arial" w:hAnsi="Arial" w:cs="Arial"/>
        </w:rPr>
        <w:t xml:space="preserve"> de </w:t>
      </w:r>
      <w:r w:rsidR="007C3E3B">
        <w:rPr>
          <w:rFonts w:ascii="Arial" w:hAnsi="Arial" w:cs="Arial"/>
        </w:rPr>
        <w:t>diciembre</w:t>
      </w:r>
      <w:r w:rsidR="00230ADC">
        <w:rPr>
          <w:rFonts w:ascii="Arial" w:hAnsi="Arial" w:cs="Arial"/>
        </w:rPr>
        <w:t xml:space="preserve"> de 2022</w:t>
      </w:r>
    </w:p>
    <w:p w14:paraId="605DE238" w14:textId="77777777" w:rsidR="002900FB" w:rsidRDefault="002900FB">
      <w:pPr>
        <w:widowControl w:val="0"/>
        <w:autoSpaceDE w:val="0"/>
        <w:autoSpaceDN w:val="0"/>
        <w:adjustRightInd w:val="0"/>
        <w:spacing w:after="0" w:line="240" w:lineRule="auto"/>
      </w:pPr>
    </w:p>
    <w:p w14:paraId="5B26D00E" w14:textId="77777777" w:rsidR="00795275" w:rsidRDefault="00795275" w:rsidP="0068153F">
      <w:pPr>
        <w:widowControl w:val="0"/>
        <w:autoSpaceDE w:val="0"/>
        <w:autoSpaceDN w:val="0"/>
        <w:adjustRightInd w:val="0"/>
        <w:spacing w:after="0" w:line="240" w:lineRule="auto"/>
        <w:jc w:val="center"/>
        <w:rPr>
          <w:rFonts w:ascii="Arial" w:hAnsi="Arial" w:cs="Arial"/>
          <w:b/>
          <w:sz w:val="28"/>
          <w:szCs w:val="28"/>
        </w:rPr>
      </w:pPr>
    </w:p>
    <w:p w14:paraId="0CBC5A22" w14:textId="6FD5C1AD" w:rsidR="00AC719A" w:rsidRDefault="000200A3" w:rsidP="00DC30A0">
      <w:pPr>
        <w:widowControl w:val="0"/>
        <w:autoSpaceDE w:val="0"/>
        <w:autoSpaceDN w:val="0"/>
        <w:adjustRightInd w:val="0"/>
        <w:spacing w:after="0" w:line="240" w:lineRule="auto"/>
        <w:ind w:left="-567"/>
        <w:jc w:val="center"/>
        <w:rPr>
          <w:rFonts w:ascii="Arial" w:hAnsi="Arial" w:cs="Arial"/>
          <w:b/>
          <w:sz w:val="28"/>
          <w:szCs w:val="28"/>
        </w:rPr>
      </w:pPr>
      <w:r>
        <w:rPr>
          <w:rFonts w:ascii="Arial" w:hAnsi="Arial" w:cs="Arial"/>
          <w:b/>
          <w:sz w:val="28"/>
          <w:szCs w:val="28"/>
        </w:rPr>
        <w:t xml:space="preserve">Solunion </w:t>
      </w:r>
      <w:r w:rsidR="00C60EFD">
        <w:rPr>
          <w:rFonts w:ascii="Arial" w:hAnsi="Arial" w:cs="Arial"/>
          <w:b/>
          <w:sz w:val="28"/>
          <w:szCs w:val="28"/>
        </w:rPr>
        <w:t xml:space="preserve">lanza su servicio de calificación digital </w:t>
      </w:r>
      <w:proofErr w:type="spellStart"/>
      <w:r w:rsidR="00CE3CC7">
        <w:rPr>
          <w:rFonts w:ascii="Arial" w:hAnsi="Arial" w:cs="Arial"/>
          <w:b/>
          <w:sz w:val="28"/>
          <w:szCs w:val="28"/>
        </w:rPr>
        <w:t>e</w:t>
      </w:r>
      <w:r w:rsidR="00C60EFD">
        <w:rPr>
          <w:rFonts w:ascii="Arial" w:hAnsi="Arial" w:cs="Arial"/>
          <w:b/>
          <w:sz w:val="28"/>
          <w:szCs w:val="28"/>
        </w:rPr>
        <w:t>Grade</w:t>
      </w:r>
      <w:proofErr w:type="spellEnd"/>
    </w:p>
    <w:p w14:paraId="4E622161" w14:textId="77777777" w:rsidR="0013777A" w:rsidRPr="0068153F" w:rsidRDefault="0013777A" w:rsidP="00DC30A0">
      <w:pPr>
        <w:widowControl w:val="0"/>
        <w:autoSpaceDE w:val="0"/>
        <w:autoSpaceDN w:val="0"/>
        <w:adjustRightInd w:val="0"/>
        <w:spacing w:after="0" w:line="240" w:lineRule="auto"/>
        <w:ind w:left="-567"/>
        <w:jc w:val="center"/>
        <w:rPr>
          <w:rFonts w:ascii="Arial" w:hAnsi="Arial" w:cs="Arial"/>
          <w:b/>
          <w:sz w:val="28"/>
          <w:szCs w:val="28"/>
        </w:rPr>
      </w:pPr>
    </w:p>
    <w:p w14:paraId="733CD1CA" w14:textId="77777777" w:rsidR="00DD7A96" w:rsidRPr="00E73016" w:rsidRDefault="00DD7A96" w:rsidP="00B97AD2">
      <w:pPr>
        <w:widowControl w:val="0"/>
        <w:autoSpaceDE w:val="0"/>
        <w:autoSpaceDN w:val="0"/>
        <w:adjustRightInd w:val="0"/>
        <w:spacing w:after="0" w:line="240" w:lineRule="auto"/>
        <w:jc w:val="both"/>
        <w:rPr>
          <w:rFonts w:ascii="Arial" w:hAnsi="Arial" w:cs="Arial"/>
        </w:rPr>
      </w:pPr>
    </w:p>
    <w:p w14:paraId="1DA12B28" w14:textId="72B846C0" w:rsidR="00F33F26" w:rsidRDefault="00F33F26" w:rsidP="009301E5">
      <w:pPr>
        <w:pStyle w:val="Prrafodelista"/>
        <w:widowControl w:val="0"/>
        <w:numPr>
          <w:ilvl w:val="0"/>
          <w:numId w:val="6"/>
        </w:numPr>
        <w:autoSpaceDE w:val="0"/>
        <w:autoSpaceDN w:val="0"/>
        <w:adjustRightInd w:val="0"/>
        <w:spacing w:before="120" w:after="0" w:line="240" w:lineRule="auto"/>
        <w:ind w:left="147" w:hanging="357"/>
        <w:contextualSpacing w:val="0"/>
        <w:jc w:val="both"/>
        <w:rPr>
          <w:rFonts w:ascii="Arial" w:hAnsi="Arial" w:cs="Arial"/>
        </w:rPr>
      </w:pPr>
      <w:proofErr w:type="spellStart"/>
      <w:r>
        <w:rPr>
          <w:rFonts w:ascii="Arial" w:hAnsi="Arial" w:cs="Arial"/>
        </w:rPr>
        <w:t>eGrade</w:t>
      </w:r>
      <w:proofErr w:type="spellEnd"/>
      <w:r>
        <w:rPr>
          <w:rFonts w:ascii="Arial" w:hAnsi="Arial" w:cs="Arial"/>
        </w:rPr>
        <w:t xml:space="preserve"> permite acceder a la calificación de riesgo de más de 80 millones de compañías de manera inmediata. </w:t>
      </w:r>
    </w:p>
    <w:p w14:paraId="227F2E8F" w14:textId="3EC51F44" w:rsidR="007C4FBD" w:rsidRPr="007C4FBD" w:rsidRDefault="007C4FBD" w:rsidP="007C4FBD">
      <w:pPr>
        <w:pStyle w:val="Prrafodelista"/>
        <w:widowControl w:val="0"/>
        <w:numPr>
          <w:ilvl w:val="0"/>
          <w:numId w:val="6"/>
        </w:numPr>
        <w:autoSpaceDE w:val="0"/>
        <w:autoSpaceDN w:val="0"/>
        <w:adjustRightInd w:val="0"/>
        <w:spacing w:before="120" w:after="0" w:line="240" w:lineRule="auto"/>
        <w:ind w:left="147" w:hanging="357"/>
        <w:contextualSpacing w:val="0"/>
        <w:jc w:val="both"/>
        <w:rPr>
          <w:rFonts w:ascii="Arial" w:hAnsi="Arial" w:cs="Arial"/>
        </w:rPr>
      </w:pPr>
      <w:r>
        <w:rPr>
          <w:rFonts w:ascii="Arial" w:hAnsi="Arial" w:cs="Arial"/>
        </w:rPr>
        <w:t xml:space="preserve">El servicio,100% digital, ayuda a las empresas a establecer relaciones comerciales más seguras. </w:t>
      </w:r>
    </w:p>
    <w:p w14:paraId="03B34D23" w14:textId="13C65B0B" w:rsidR="00E73016" w:rsidRDefault="00E73016" w:rsidP="004C0064">
      <w:pPr>
        <w:widowControl w:val="0"/>
        <w:autoSpaceDE w:val="0"/>
        <w:autoSpaceDN w:val="0"/>
        <w:adjustRightInd w:val="0"/>
        <w:spacing w:after="0" w:line="240" w:lineRule="auto"/>
        <w:ind w:left="-567"/>
        <w:jc w:val="both"/>
      </w:pPr>
    </w:p>
    <w:p w14:paraId="3B9F6E18" w14:textId="77777777" w:rsidR="00AC79A3" w:rsidRDefault="00AC79A3" w:rsidP="004C0064">
      <w:pPr>
        <w:widowControl w:val="0"/>
        <w:autoSpaceDE w:val="0"/>
        <w:autoSpaceDN w:val="0"/>
        <w:adjustRightInd w:val="0"/>
        <w:spacing w:after="0" w:line="240" w:lineRule="auto"/>
        <w:ind w:left="-567"/>
        <w:jc w:val="both"/>
      </w:pPr>
    </w:p>
    <w:p w14:paraId="433AF023" w14:textId="308869CB" w:rsidR="00AC79A3" w:rsidRDefault="00A71CA6" w:rsidP="004C0064">
      <w:pPr>
        <w:widowControl w:val="0"/>
        <w:autoSpaceDE w:val="0"/>
        <w:autoSpaceDN w:val="0"/>
        <w:adjustRightInd w:val="0"/>
        <w:spacing w:after="0" w:line="240" w:lineRule="auto"/>
        <w:ind w:left="-567"/>
        <w:jc w:val="both"/>
        <w:rPr>
          <w:rFonts w:ascii="Arial" w:hAnsi="Arial" w:cs="Arial"/>
        </w:rPr>
      </w:pPr>
      <w:hyperlink r:id="rId7" w:history="1">
        <w:r w:rsidR="0068153F" w:rsidRPr="004F041C">
          <w:rPr>
            <w:rStyle w:val="Hipervnculo"/>
            <w:rFonts w:ascii="Arial" w:hAnsi="Arial" w:cs="Arial"/>
          </w:rPr>
          <w:t>Solunion</w:t>
        </w:r>
      </w:hyperlink>
      <w:r w:rsidR="0068153F">
        <w:rPr>
          <w:rFonts w:ascii="Arial" w:hAnsi="Arial" w:cs="Arial"/>
        </w:rPr>
        <w:t xml:space="preserve">, </w:t>
      </w:r>
      <w:r w:rsidR="00A96FC5">
        <w:rPr>
          <w:rFonts w:ascii="Arial" w:hAnsi="Arial" w:cs="Arial"/>
        </w:rPr>
        <w:t xml:space="preserve">la compañía de seguros de </w:t>
      </w:r>
      <w:r w:rsidR="00E504C3">
        <w:rPr>
          <w:rFonts w:ascii="Arial" w:hAnsi="Arial" w:cs="Arial"/>
        </w:rPr>
        <w:t>C</w:t>
      </w:r>
      <w:r w:rsidR="00A96FC5">
        <w:rPr>
          <w:rFonts w:ascii="Arial" w:hAnsi="Arial" w:cs="Arial"/>
        </w:rPr>
        <w:t xml:space="preserve">rédito, de </w:t>
      </w:r>
      <w:r w:rsidR="00E504C3">
        <w:rPr>
          <w:rFonts w:ascii="Arial" w:hAnsi="Arial" w:cs="Arial"/>
        </w:rPr>
        <w:t>C</w:t>
      </w:r>
      <w:r w:rsidR="00A96FC5">
        <w:rPr>
          <w:rFonts w:ascii="Arial" w:hAnsi="Arial" w:cs="Arial"/>
        </w:rPr>
        <w:t xml:space="preserve">aución y de servicios asociados a la gestión del </w:t>
      </w:r>
      <w:r w:rsidR="00FD2B93">
        <w:rPr>
          <w:rFonts w:ascii="Arial" w:hAnsi="Arial" w:cs="Arial"/>
        </w:rPr>
        <w:t xml:space="preserve">riesgo </w:t>
      </w:r>
      <w:r w:rsidR="00A96FC5">
        <w:rPr>
          <w:rFonts w:ascii="Arial" w:hAnsi="Arial" w:cs="Arial"/>
        </w:rPr>
        <w:t>comercial</w:t>
      </w:r>
      <w:r w:rsidR="00461419">
        <w:rPr>
          <w:rFonts w:ascii="Arial" w:hAnsi="Arial" w:cs="Arial"/>
        </w:rPr>
        <w:t>,</w:t>
      </w:r>
      <w:r w:rsidR="004C0064">
        <w:rPr>
          <w:rFonts w:ascii="Arial" w:hAnsi="Arial" w:cs="Arial"/>
        </w:rPr>
        <w:t xml:space="preserve"> </w:t>
      </w:r>
      <w:r w:rsidR="00AC79A3">
        <w:rPr>
          <w:rFonts w:ascii="Arial" w:hAnsi="Arial" w:cs="Arial"/>
        </w:rPr>
        <w:t xml:space="preserve">lanza </w:t>
      </w:r>
      <w:proofErr w:type="spellStart"/>
      <w:r w:rsidR="00AC79A3">
        <w:rPr>
          <w:rFonts w:ascii="Arial" w:hAnsi="Arial" w:cs="Arial"/>
        </w:rPr>
        <w:t>eGrade</w:t>
      </w:r>
      <w:proofErr w:type="spellEnd"/>
      <w:r w:rsidR="00AC79A3">
        <w:rPr>
          <w:rFonts w:ascii="Arial" w:hAnsi="Arial" w:cs="Arial"/>
        </w:rPr>
        <w:t>, su servicio digital de calificación de empresas.</w:t>
      </w:r>
    </w:p>
    <w:p w14:paraId="7CE09F93" w14:textId="77777777" w:rsidR="00AC79A3" w:rsidRDefault="00AC79A3" w:rsidP="004C0064">
      <w:pPr>
        <w:widowControl w:val="0"/>
        <w:autoSpaceDE w:val="0"/>
        <w:autoSpaceDN w:val="0"/>
        <w:adjustRightInd w:val="0"/>
        <w:spacing w:after="0" w:line="240" w:lineRule="auto"/>
        <w:ind w:left="-567"/>
        <w:jc w:val="both"/>
        <w:rPr>
          <w:rFonts w:ascii="Arial" w:hAnsi="Arial" w:cs="Arial"/>
        </w:rPr>
      </w:pPr>
    </w:p>
    <w:p w14:paraId="2B2EB843" w14:textId="1FD0B1F6" w:rsidR="002830D3" w:rsidRDefault="002830D3" w:rsidP="004C0064">
      <w:pPr>
        <w:widowControl w:val="0"/>
        <w:autoSpaceDE w:val="0"/>
        <w:autoSpaceDN w:val="0"/>
        <w:adjustRightInd w:val="0"/>
        <w:spacing w:after="0" w:line="240" w:lineRule="auto"/>
        <w:ind w:left="-567"/>
        <w:jc w:val="both"/>
        <w:rPr>
          <w:rFonts w:ascii="Arial" w:hAnsi="Arial" w:cs="Arial"/>
        </w:rPr>
      </w:pPr>
      <w:r>
        <w:rPr>
          <w:rFonts w:ascii="Arial" w:hAnsi="Arial" w:cs="Arial"/>
        </w:rPr>
        <w:t>Est</w:t>
      </w:r>
      <w:r w:rsidR="007C4FBD">
        <w:rPr>
          <w:rFonts w:ascii="Arial" w:hAnsi="Arial" w:cs="Arial"/>
        </w:rPr>
        <w:t>a</w:t>
      </w:r>
      <w:r>
        <w:rPr>
          <w:rFonts w:ascii="Arial" w:hAnsi="Arial" w:cs="Arial"/>
        </w:rPr>
        <w:t xml:space="preserve"> </w:t>
      </w:r>
      <w:r w:rsidR="007C4FBD">
        <w:rPr>
          <w:rFonts w:ascii="Arial" w:hAnsi="Arial" w:cs="Arial"/>
        </w:rPr>
        <w:t>herramienta</w:t>
      </w:r>
      <w:r>
        <w:rPr>
          <w:rFonts w:ascii="Arial" w:hAnsi="Arial" w:cs="Arial"/>
        </w:rPr>
        <w:t xml:space="preserve"> supone un respaldo para las empresas a la hora de establecer relaciones comerciales. Ayuda a elegir a los proveedores, socios o clientes más fiables en términos de solvencia para generar estrategias comerciales más seguras</w:t>
      </w:r>
      <w:r w:rsidR="002D0344">
        <w:rPr>
          <w:rFonts w:ascii="Arial" w:hAnsi="Arial" w:cs="Arial"/>
        </w:rPr>
        <w:t xml:space="preserve">, gracias al acceso a la calificación de más de 80 millones de compañías de todo el mundo. </w:t>
      </w:r>
    </w:p>
    <w:p w14:paraId="03AC5A71" w14:textId="77777777" w:rsidR="002830D3" w:rsidRDefault="002830D3" w:rsidP="004C0064">
      <w:pPr>
        <w:widowControl w:val="0"/>
        <w:autoSpaceDE w:val="0"/>
        <w:autoSpaceDN w:val="0"/>
        <w:adjustRightInd w:val="0"/>
        <w:spacing w:after="0" w:line="240" w:lineRule="auto"/>
        <w:ind w:left="-567"/>
        <w:jc w:val="both"/>
        <w:rPr>
          <w:rFonts w:ascii="Arial" w:hAnsi="Arial" w:cs="Arial"/>
        </w:rPr>
      </w:pPr>
    </w:p>
    <w:p w14:paraId="29D0A119" w14:textId="4D829643" w:rsidR="00A56F3D" w:rsidRDefault="007C4FBD" w:rsidP="004C0064">
      <w:pPr>
        <w:widowControl w:val="0"/>
        <w:autoSpaceDE w:val="0"/>
        <w:autoSpaceDN w:val="0"/>
        <w:adjustRightInd w:val="0"/>
        <w:spacing w:after="0" w:line="240" w:lineRule="auto"/>
        <w:ind w:left="-567"/>
        <w:jc w:val="both"/>
        <w:rPr>
          <w:rFonts w:ascii="Arial" w:hAnsi="Arial" w:cs="Arial"/>
        </w:rPr>
      </w:pPr>
      <w:proofErr w:type="spellStart"/>
      <w:r>
        <w:rPr>
          <w:rFonts w:ascii="Arial" w:hAnsi="Arial" w:cs="Arial"/>
        </w:rPr>
        <w:t>e</w:t>
      </w:r>
      <w:r w:rsidR="00E745C2">
        <w:rPr>
          <w:rFonts w:ascii="Arial" w:hAnsi="Arial" w:cs="Arial"/>
        </w:rPr>
        <w:t>Grade</w:t>
      </w:r>
      <w:proofErr w:type="spellEnd"/>
      <w:r w:rsidR="00E745C2">
        <w:rPr>
          <w:rFonts w:ascii="Arial" w:hAnsi="Arial" w:cs="Arial"/>
        </w:rPr>
        <w:t xml:space="preserve"> </w:t>
      </w:r>
      <w:r w:rsidR="002D0344">
        <w:rPr>
          <w:rFonts w:ascii="Arial" w:hAnsi="Arial" w:cs="Arial"/>
        </w:rPr>
        <w:t>se basa en el Grade, la calificación interna de Solunion que valora la probabilidad de impago de un deudor en los próximos doce meses</w:t>
      </w:r>
      <w:r w:rsidR="00E745C2">
        <w:rPr>
          <w:rFonts w:ascii="Arial" w:hAnsi="Arial" w:cs="Arial"/>
        </w:rPr>
        <w:t xml:space="preserve">. Este rating se elabora a partir de </w:t>
      </w:r>
      <w:r w:rsidR="00F33F26">
        <w:rPr>
          <w:rFonts w:ascii="Arial" w:hAnsi="Arial" w:cs="Arial"/>
        </w:rPr>
        <w:t>un exhaustivo trabajo</w:t>
      </w:r>
      <w:r w:rsidR="00E745C2">
        <w:rPr>
          <w:rFonts w:ascii="Arial" w:hAnsi="Arial" w:cs="Arial"/>
        </w:rPr>
        <w:t xml:space="preserve"> de vigilancia, análisis y control de riesgos llevado a cabo </w:t>
      </w:r>
      <w:r w:rsidR="00F33F26">
        <w:rPr>
          <w:rFonts w:ascii="Arial" w:hAnsi="Arial" w:cs="Arial"/>
        </w:rPr>
        <w:t>en función de</w:t>
      </w:r>
      <w:r w:rsidR="001F7D12">
        <w:rPr>
          <w:rFonts w:ascii="Arial" w:hAnsi="Arial" w:cs="Arial"/>
        </w:rPr>
        <w:t xml:space="preserve"> una gran cantidad de información referente a la propiedad, gestión y estrategia de la empresa, ingresos y rentabilidad, liquidez, apalancamiento financiero, flujo de efectivo</w:t>
      </w:r>
      <w:r w:rsidR="00A56F3D">
        <w:rPr>
          <w:rFonts w:ascii="Arial" w:hAnsi="Arial" w:cs="Arial"/>
        </w:rPr>
        <w:t xml:space="preserve"> o</w:t>
      </w:r>
      <w:r w:rsidR="001F7D12">
        <w:rPr>
          <w:rFonts w:ascii="Arial" w:hAnsi="Arial" w:cs="Arial"/>
        </w:rPr>
        <w:t xml:space="preserve"> métricas de crédito</w:t>
      </w:r>
      <w:r w:rsidR="00A56F3D">
        <w:rPr>
          <w:rFonts w:ascii="Arial" w:hAnsi="Arial" w:cs="Arial"/>
        </w:rPr>
        <w:t>. Igualmente, se tienen en cuenta</w:t>
      </w:r>
      <w:r w:rsidR="001F7D12">
        <w:rPr>
          <w:rFonts w:ascii="Arial" w:hAnsi="Arial" w:cs="Arial"/>
        </w:rPr>
        <w:t xml:space="preserve"> datos complementarios</w:t>
      </w:r>
      <w:r w:rsidR="00A56F3D">
        <w:rPr>
          <w:rFonts w:ascii="Arial" w:hAnsi="Arial" w:cs="Arial"/>
        </w:rPr>
        <w:t xml:space="preserve"> como los</w:t>
      </w:r>
      <w:r w:rsidR="001F7D12">
        <w:rPr>
          <w:rFonts w:ascii="Arial" w:hAnsi="Arial" w:cs="Arial"/>
        </w:rPr>
        <w:t xml:space="preserve"> </w:t>
      </w:r>
      <w:r w:rsidR="00A56F3D">
        <w:rPr>
          <w:rFonts w:ascii="Arial" w:hAnsi="Arial" w:cs="Arial"/>
        </w:rPr>
        <w:t>relacionados con</w:t>
      </w:r>
      <w:r w:rsidR="001F7D12">
        <w:rPr>
          <w:rFonts w:ascii="Arial" w:hAnsi="Arial" w:cs="Arial"/>
        </w:rPr>
        <w:t xml:space="preserve"> </w:t>
      </w:r>
      <w:r w:rsidR="00A56F3D">
        <w:rPr>
          <w:rFonts w:ascii="Arial" w:hAnsi="Arial" w:cs="Arial"/>
        </w:rPr>
        <w:t>criterios</w:t>
      </w:r>
      <w:r w:rsidR="001F7D12">
        <w:rPr>
          <w:rFonts w:ascii="Arial" w:hAnsi="Arial" w:cs="Arial"/>
        </w:rPr>
        <w:t xml:space="preserve"> </w:t>
      </w:r>
      <w:r w:rsidR="00A56F3D">
        <w:rPr>
          <w:rFonts w:ascii="Arial" w:hAnsi="Arial" w:cs="Arial"/>
        </w:rPr>
        <w:t>A</w:t>
      </w:r>
      <w:r w:rsidR="001F7D12">
        <w:rPr>
          <w:rFonts w:ascii="Arial" w:hAnsi="Arial" w:cs="Arial"/>
        </w:rPr>
        <w:t>SG</w:t>
      </w:r>
      <w:r w:rsidR="00A56F3D">
        <w:rPr>
          <w:rFonts w:ascii="Arial" w:hAnsi="Arial" w:cs="Arial"/>
        </w:rPr>
        <w:t>, dado el impacto que los problemas ambientales, sociales y de gobernanza pueden tener, entre otros, sobre el crecimiento, la cuota de mercado o la rentabilidad de empresas e inversores</w:t>
      </w:r>
      <w:r w:rsidR="001F7D12">
        <w:rPr>
          <w:rFonts w:ascii="Arial" w:hAnsi="Arial" w:cs="Arial"/>
        </w:rPr>
        <w:t>.</w:t>
      </w:r>
    </w:p>
    <w:p w14:paraId="5DA45C3F" w14:textId="77777777" w:rsidR="00A56F3D" w:rsidRDefault="00A56F3D" w:rsidP="004C0064">
      <w:pPr>
        <w:widowControl w:val="0"/>
        <w:autoSpaceDE w:val="0"/>
        <w:autoSpaceDN w:val="0"/>
        <w:adjustRightInd w:val="0"/>
        <w:spacing w:after="0" w:line="240" w:lineRule="auto"/>
        <w:ind w:left="-567"/>
        <w:jc w:val="both"/>
        <w:rPr>
          <w:rFonts w:ascii="Arial" w:hAnsi="Arial" w:cs="Arial"/>
        </w:rPr>
      </w:pPr>
    </w:p>
    <w:p w14:paraId="0C26CBF8" w14:textId="5599AEC1" w:rsidR="002830D3" w:rsidRDefault="001F7D12" w:rsidP="004C0064">
      <w:pPr>
        <w:widowControl w:val="0"/>
        <w:autoSpaceDE w:val="0"/>
        <w:autoSpaceDN w:val="0"/>
        <w:adjustRightInd w:val="0"/>
        <w:spacing w:after="0" w:line="240" w:lineRule="auto"/>
        <w:ind w:left="-567"/>
        <w:jc w:val="both"/>
        <w:rPr>
          <w:rFonts w:ascii="Arial" w:hAnsi="Arial" w:cs="Arial"/>
        </w:rPr>
      </w:pPr>
      <w:r>
        <w:rPr>
          <w:rFonts w:ascii="Arial" w:hAnsi="Arial" w:cs="Arial"/>
        </w:rPr>
        <w:t xml:space="preserve">Además, </w:t>
      </w:r>
      <w:r w:rsidR="00A56F3D">
        <w:rPr>
          <w:rFonts w:ascii="Arial" w:hAnsi="Arial" w:cs="Arial"/>
        </w:rPr>
        <w:t>esta</w:t>
      </w:r>
      <w:r>
        <w:rPr>
          <w:rFonts w:ascii="Arial" w:hAnsi="Arial" w:cs="Arial"/>
        </w:rPr>
        <w:t xml:space="preserve"> información se enrique</w:t>
      </w:r>
      <w:r w:rsidR="00A56F3D">
        <w:rPr>
          <w:rFonts w:ascii="Arial" w:hAnsi="Arial" w:cs="Arial"/>
        </w:rPr>
        <w:t>ce</w:t>
      </w:r>
      <w:r>
        <w:rPr>
          <w:rFonts w:ascii="Arial" w:hAnsi="Arial" w:cs="Arial"/>
        </w:rPr>
        <w:t xml:space="preserve"> con </w:t>
      </w:r>
      <w:r w:rsidR="007C4FBD">
        <w:rPr>
          <w:rFonts w:ascii="Arial" w:hAnsi="Arial" w:cs="Arial"/>
        </w:rPr>
        <w:t>la procedente</w:t>
      </w:r>
      <w:r>
        <w:rPr>
          <w:rFonts w:ascii="Arial" w:hAnsi="Arial" w:cs="Arial"/>
        </w:rPr>
        <w:t xml:space="preserve"> de</w:t>
      </w:r>
      <w:r w:rsidR="007C4FBD">
        <w:rPr>
          <w:rFonts w:ascii="Arial" w:hAnsi="Arial" w:cs="Arial"/>
        </w:rPr>
        <w:t xml:space="preserve"> diversas</w:t>
      </w:r>
      <w:r>
        <w:rPr>
          <w:rFonts w:ascii="Arial" w:hAnsi="Arial" w:cs="Arial"/>
        </w:rPr>
        <w:t xml:space="preserve"> fuentes</w:t>
      </w:r>
      <w:r w:rsidR="00F33F26">
        <w:rPr>
          <w:rFonts w:ascii="Arial" w:hAnsi="Arial" w:cs="Arial"/>
        </w:rPr>
        <w:t xml:space="preserve"> externas</w:t>
      </w:r>
      <w:r>
        <w:rPr>
          <w:rFonts w:ascii="Arial" w:hAnsi="Arial" w:cs="Arial"/>
        </w:rPr>
        <w:t xml:space="preserve">, lo que </w:t>
      </w:r>
      <w:r w:rsidR="00A56F3D">
        <w:rPr>
          <w:rFonts w:ascii="Arial" w:hAnsi="Arial" w:cs="Arial"/>
        </w:rPr>
        <w:t>facilita</w:t>
      </w:r>
      <w:r>
        <w:rPr>
          <w:rFonts w:ascii="Arial" w:hAnsi="Arial" w:cs="Arial"/>
        </w:rPr>
        <w:t xml:space="preserve"> a Solunion ofrecer calificaci</w:t>
      </w:r>
      <w:r w:rsidR="00696243">
        <w:rPr>
          <w:rFonts w:ascii="Arial" w:hAnsi="Arial" w:cs="Arial"/>
        </w:rPr>
        <w:t>ones</w:t>
      </w:r>
      <w:r>
        <w:rPr>
          <w:rFonts w:ascii="Arial" w:hAnsi="Arial" w:cs="Arial"/>
        </w:rPr>
        <w:t xml:space="preserve"> de riesgo de más de 80 millones de compañías de manera inmediata. </w:t>
      </w:r>
    </w:p>
    <w:p w14:paraId="759CA4C2" w14:textId="156998BF" w:rsidR="001F7D12" w:rsidRDefault="001F7D12" w:rsidP="004C0064">
      <w:pPr>
        <w:widowControl w:val="0"/>
        <w:autoSpaceDE w:val="0"/>
        <w:autoSpaceDN w:val="0"/>
        <w:adjustRightInd w:val="0"/>
        <w:spacing w:after="0" w:line="240" w:lineRule="auto"/>
        <w:ind w:left="-567"/>
        <w:jc w:val="both"/>
        <w:rPr>
          <w:rFonts w:ascii="Arial" w:hAnsi="Arial" w:cs="Arial"/>
        </w:rPr>
      </w:pPr>
    </w:p>
    <w:p w14:paraId="53671215" w14:textId="20C50EF7" w:rsidR="00696243" w:rsidRDefault="001F7D12" w:rsidP="004C0064">
      <w:pPr>
        <w:widowControl w:val="0"/>
        <w:autoSpaceDE w:val="0"/>
        <w:autoSpaceDN w:val="0"/>
        <w:adjustRightInd w:val="0"/>
        <w:spacing w:after="0" w:line="240" w:lineRule="auto"/>
        <w:ind w:left="-567"/>
        <w:jc w:val="both"/>
        <w:rPr>
          <w:rFonts w:ascii="Arial" w:hAnsi="Arial" w:cs="Arial"/>
        </w:rPr>
      </w:pPr>
      <w:r>
        <w:rPr>
          <w:rFonts w:ascii="Arial" w:hAnsi="Arial" w:cs="Arial"/>
        </w:rPr>
        <w:t>“</w:t>
      </w:r>
      <w:proofErr w:type="spellStart"/>
      <w:r w:rsidR="00405F61">
        <w:rPr>
          <w:rFonts w:ascii="Arial" w:hAnsi="Arial" w:cs="Arial"/>
        </w:rPr>
        <w:t>e</w:t>
      </w:r>
      <w:r>
        <w:rPr>
          <w:rFonts w:ascii="Arial" w:hAnsi="Arial" w:cs="Arial"/>
        </w:rPr>
        <w:t>Grade</w:t>
      </w:r>
      <w:proofErr w:type="spellEnd"/>
      <w:r>
        <w:rPr>
          <w:rFonts w:ascii="Arial" w:hAnsi="Arial" w:cs="Arial"/>
        </w:rPr>
        <w:t xml:space="preserve"> es nuestro primer servicio </w:t>
      </w:r>
      <w:r w:rsidR="007C4FBD">
        <w:rPr>
          <w:rFonts w:ascii="Arial" w:hAnsi="Arial" w:cs="Arial"/>
        </w:rPr>
        <w:t>cien por cien</w:t>
      </w:r>
      <w:r>
        <w:rPr>
          <w:rFonts w:ascii="Arial" w:hAnsi="Arial" w:cs="Arial"/>
        </w:rPr>
        <w:t xml:space="preserve"> digital</w:t>
      </w:r>
      <w:r w:rsidR="007C4FBD">
        <w:rPr>
          <w:rFonts w:ascii="Arial" w:hAnsi="Arial" w:cs="Arial"/>
        </w:rPr>
        <w:t xml:space="preserve"> y</w:t>
      </w:r>
      <w:r w:rsidR="00F33F26">
        <w:rPr>
          <w:rFonts w:ascii="Arial" w:hAnsi="Arial" w:cs="Arial"/>
        </w:rPr>
        <w:t xml:space="preserve"> parte de </w:t>
      </w:r>
      <w:r w:rsidR="00A56F3D">
        <w:rPr>
          <w:rFonts w:ascii="Arial" w:hAnsi="Arial" w:cs="Arial"/>
        </w:rPr>
        <w:t>una</w:t>
      </w:r>
      <w:r w:rsidR="00F33F26">
        <w:rPr>
          <w:rFonts w:ascii="Arial" w:hAnsi="Arial" w:cs="Arial"/>
        </w:rPr>
        <w:t xml:space="preserve"> </w:t>
      </w:r>
      <w:r w:rsidR="00A56F3D">
        <w:rPr>
          <w:rFonts w:ascii="Arial" w:hAnsi="Arial" w:cs="Arial"/>
        </w:rPr>
        <w:t xml:space="preserve">labor de </w:t>
      </w:r>
      <w:r w:rsidR="00F33F26">
        <w:rPr>
          <w:rFonts w:ascii="Arial" w:hAnsi="Arial" w:cs="Arial"/>
        </w:rPr>
        <w:t>escucha</w:t>
      </w:r>
      <w:r w:rsidR="00A56F3D">
        <w:rPr>
          <w:rFonts w:ascii="Arial" w:hAnsi="Arial" w:cs="Arial"/>
        </w:rPr>
        <w:t xml:space="preserve">, la que realizamos con </w:t>
      </w:r>
      <w:r w:rsidR="00AB575F">
        <w:rPr>
          <w:rFonts w:ascii="Arial" w:hAnsi="Arial" w:cs="Arial"/>
        </w:rPr>
        <w:t>empresas</w:t>
      </w:r>
      <w:r w:rsidR="00DC098F">
        <w:rPr>
          <w:rFonts w:ascii="Arial" w:hAnsi="Arial" w:cs="Arial"/>
        </w:rPr>
        <w:t xml:space="preserve">, </w:t>
      </w:r>
      <w:r w:rsidR="00AB575F">
        <w:rPr>
          <w:rFonts w:ascii="Arial" w:hAnsi="Arial" w:cs="Arial"/>
        </w:rPr>
        <w:t xml:space="preserve">mediadores </w:t>
      </w:r>
      <w:r w:rsidR="00DC098F">
        <w:rPr>
          <w:rFonts w:ascii="Arial" w:hAnsi="Arial" w:cs="Arial"/>
        </w:rPr>
        <w:t>y</w:t>
      </w:r>
      <w:r w:rsidR="00F33F26">
        <w:rPr>
          <w:rFonts w:ascii="Arial" w:hAnsi="Arial" w:cs="Arial"/>
        </w:rPr>
        <w:t xml:space="preserve"> </w:t>
      </w:r>
      <w:r w:rsidR="00A56F3D">
        <w:rPr>
          <w:rFonts w:ascii="Arial" w:hAnsi="Arial" w:cs="Arial"/>
        </w:rPr>
        <w:t>el</w:t>
      </w:r>
      <w:r w:rsidR="00F33F26">
        <w:rPr>
          <w:rFonts w:ascii="Arial" w:hAnsi="Arial" w:cs="Arial"/>
        </w:rPr>
        <w:t xml:space="preserve"> mercado</w:t>
      </w:r>
      <w:r w:rsidR="007C4FBD">
        <w:rPr>
          <w:rFonts w:ascii="Arial" w:hAnsi="Arial" w:cs="Arial"/>
        </w:rPr>
        <w:t xml:space="preserve"> </w:t>
      </w:r>
      <w:r w:rsidR="00AB575F">
        <w:rPr>
          <w:rFonts w:ascii="Arial" w:hAnsi="Arial" w:cs="Arial"/>
        </w:rPr>
        <w:t xml:space="preserve">en general, </w:t>
      </w:r>
      <w:r w:rsidR="007C4FBD">
        <w:rPr>
          <w:rFonts w:ascii="Arial" w:hAnsi="Arial" w:cs="Arial"/>
        </w:rPr>
        <w:t>para detectar sus necesidades</w:t>
      </w:r>
      <w:r w:rsidR="00DC098F">
        <w:rPr>
          <w:rFonts w:ascii="Arial" w:hAnsi="Arial" w:cs="Arial"/>
        </w:rPr>
        <w:t xml:space="preserve"> y responder de forma adecuada</w:t>
      </w:r>
      <w:r w:rsidR="00F33F26">
        <w:rPr>
          <w:rFonts w:ascii="Arial" w:hAnsi="Arial" w:cs="Arial"/>
        </w:rPr>
        <w:t>”,</w:t>
      </w:r>
      <w:r>
        <w:rPr>
          <w:rFonts w:ascii="Arial" w:hAnsi="Arial" w:cs="Arial"/>
        </w:rPr>
        <w:t xml:space="preserve"> explica José Luis Gómez, Director Comercial y de Marketing de Solunion España. </w:t>
      </w:r>
      <w:r w:rsidR="00F33F26">
        <w:rPr>
          <w:rFonts w:ascii="Arial" w:hAnsi="Arial" w:cs="Arial"/>
        </w:rPr>
        <w:t>“</w:t>
      </w:r>
      <w:r w:rsidR="00696243">
        <w:rPr>
          <w:rFonts w:ascii="Arial" w:hAnsi="Arial" w:cs="Arial"/>
        </w:rPr>
        <w:t>La inmediatez y la sencillez son dos de los grandes beneficios de este servicio, que permite a sus usuarios prospectar clientes</w:t>
      </w:r>
      <w:r w:rsidR="009B0DF3">
        <w:rPr>
          <w:rFonts w:ascii="Arial" w:hAnsi="Arial" w:cs="Arial"/>
        </w:rPr>
        <w:t xml:space="preserve"> y </w:t>
      </w:r>
      <w:r w:rsidR="00696243">
        <w:rPr>
          <w:rFonts w:ascii="Arial" w:hAnsi="Arial" w:cs="Arial"/>
        </w:rPr>
        <w:t xml:space="preserve">optimizar la elección de </w:t>
      </w:r>
      <w:r w:rsidR="00DC098F">
        <w:rPr>
          <w:rFonts w:ascii="Arial" w:hAnsi="Arial" w:cs="Arial"/>
        </w:rPr>
        <w:t xml:space="preserve">sus </w:t>
      </w:r>
      <w:r w:rsidR="00696243">
        <w:rPr>
          <w:rFonts w:ascii="Arial" w:hAnsi="Arial" w:cs="Arial"/>
        </w:rPr>
        <w:t xml:space="preserve">proveedores </w:t>
      </w:r>
      <w:r w:rsidR="009B0DF3">
        <w:rPr>
          <w:rFonts w:ascii="Arial" w:hAnsi="Arial" w:cs="Arial"/>
        </w:rPr>
        <w:t>y</w:t>
      </w:r>
      <w:r w:rsidR="00696243">
        <w:rPr>
          <w:rFonts w:ascii="Arial" w:hAnsi="Arial" w:cs="Arial"/>
        </w:rPr>
        <w:t xml:space="preserve"> la planificación de </w:t>
      </w:r>
      <w:r w:rsidR="00DC098F">
        <w:rPr>
          <w:rFonts w:ascii="Arial" w:hAnsi="Arial" w:cs="Arial"/>
        </w:rPr>
        <w:t>sus</w:t>
      </w:r>
      <w:r w:rsidR="00696243">
        <w:rPr>
          <w:rFonts w:ascii="Arial" w:hAnsi="Arial" w:cs="Arial"/>
        </w:rPr>
        <w:t xml:space="preserve"> ventas”, añade.</w:t>
      </w:r>
    </w:p>
    <w:p w14:paraId="526FAD39" w14:textId="77777777" w:rsidR="00696243" w:rsidRDefault="00696243" w:rsidP="004C0064">
      <w:pPr>
        <w:widowControl w:val="0"/>
        <w:autoSpaceDE w:val="0"/>
        <w:autoSpaceDN w:val="0"/>
        <w:adjustRightInd w:val="0"/>
        <w:spacing w:after="0" w:line="240" w:lineRule="auto"/>
        <w:ind w:left="-567"/>
        <w:jc w:val="both"/>
        <w:rPr>
          <w:rFonts w:ascii="Arial" w:hAnsi="Arial" w:cs="Arial"/>
        </w:rPr>
      </w:pPr>
    </w:p>
    <w:p w14:paraId="157F8013" w14:textId="3145AA0F" w:rsidR="001C3200" w:rsidRDefault="001C3200" w:rsidP="004C0064">
      <w:pPr>
        <w:widowControl w:val="0"/>
        <w:autoSpaceDE w:val="0"/>
        <w:autoSpaceDN w:val="0"/>
        <w:adjustRightInd w:val="0"/>
        <w:spacing w:after="0" w:line="240" w:lineRule="auto"/>
        <w:ind w:left="-567"/>
        <w:jc w:val="both"/>
        <w:rPr>
          <w:rFonts w:ascii="Arial" w:hAnsi="Arial" w:cs="Arial"/>
        </w:rPr>
      </w:pPr>
    </w:p>
    <w:p w14:paraId="2775E656" w14:textId="77777777" w:rsidR="000A63FD" w:rsidRDefault="000A63FD" w:rsidP="000A63FD">
      <w:pPr>
        <w:spacing w:after="160" w:line="259" w:lineRule="auto"/>
        <w:ind w:left="-567"/>
        <w:rPr>
          <w:rFonts w:ascii="Arial" w:hAnsi="Arial" w:cs="Arial"/>
          <w:b/>
        </w:rPr>
      </w:pPr>
      <w:r w:rsidRPr="00333AE3">
        <w:rPr>
          <w:rFonts w:ascii="Arial" w:hAnsi="Arial" w:cs="Arial"/>
          <w:b/>
        </w:rPr>
        <w:t>Sobre Solunion:</w:t>
      </w:r>
    </w:p>
    <w:p w14:paraId="711229CF" w14:textId="77777777" w:rsidR="000A63FD" w:rsidRDefault="000A63FD" w:rsidP="000A63FD">
      <w:pPr>
        <w:ind w:left="-567" w:right="-285"/>
        <w:jc w:val="both"/>
        <w:rPr>
          <w:rFonts w:ascii="Arial" w:hAnsi="Arial" w:cs="Arial"/>
          <w:iCs/>
          <w:sz w:val="20"/>
          <w:szCs w:val="20"/>
          <w:lang w:val="es-ES_tradnl"/>
        </w:rPr>
      </w:pPr>
      <w:r>
        <w:rPr>
          <w:rFonts w:ascii="Arial" w:hAnsi="Arial" w:cs="Arial"/>
          <w:iCs/>
          <w:sz w:val="20"/>
          <w:szCs w:val="20"/>
          <w:lang w:val="es-ES_tradnl"/>
        </w:rPr>
        <w:t xml:space="preserve">Ofrecemos soluciones y servicios de seguro de Crédito y de Caución y servicios asociados a la gestión del riesgo comercial para compañías de España y Latinoamérica. Somos una </w:t>
      </w:r>
      <w:proofErr w:type="spellStart"/>
      <w:r>
        <w:rPr>
          <w:rFonts w:ascii="Arial" w:hAnsi="Arial" w:cs="Arial"/>
          <w:iCs/>
          <w:sz w:val="20"/>
          <w:szCs w:val="20"/>
          <w:lang w:val="es-ES_tradnl"/>
        </w:rPr>
        <w:t>joint</w:t>
      </w:r>
      <w:proofErr w:type="spellEnd"/>
      <w:r>
        <w:rPr>
          <w:rFonts w:ascii="Arial" w:hAnsi="Arial" w:cs="Arial"/>
          <w:iCs/>
          <w:sz w:val="20"/>
          <w:szCs w:val="20"/>
          <w:lang w:val="es-ES_tradnl"/>
        </w:rPr>
        <w:t xml:space="preserve"> </w:t>
      </w:r>
      <w:proofErr w:type="spellStart"/>
      <w:r>
        <w:rPr>
          <w:rFonts w:ascii="Arial" w:hAnsi="Arial" w:cs="Arial"/>
          <w:iCs/>
          <w:sz w:val="20"/>
          <w:szCs w:val="20"/>
          <w:lang w:val="es-ES_tradnl"/>
        </w:rPr>
        <w:t>venture</w:t>
      </w:r>
      <w:proofErr w:type="spellEnd"/>
      <w:r>
        <w:rPr>
          <w:rFonts w:ascii="Arial" w:hAnsi="Arial" w:cs="Arial"/>
          <w:iCs/>
          <w:sz w:val="20"/>
          <w:szCs w:val="20"/>
          <w:lang w:val="es-ES_tradnl"/>
        </w:rPr>
        <w:t xml:space="preserve"> constituida en 2013 y participada al 50/50 por dos grandes aseguradoras, </w:t>
      </w:r>
      <w:hyperlink r:id="rId8" w:history="1">
        <w:r w:rsidRPr="00030C4E">
          <w:rPr>
            <w:rStyle w:val="Hipervnculo"/>
            <w:rFonts w:ascii="Arial" w:hAnsi="Arial" w:cs="Arial"/>
            <w:iCs/>
            <w:sz w:val="20"/>
            <w:szCs w:val="20"/>
            <w:lang w:val="es-ES_tradnl"/>
          </w:rPr>
          <w:t>MAPFRE</w:t>
        </w:r>
      </w:hyperlink>
      <w:r>
        <w:rPr>
          <w:rFonts w:ascii="Arial" w:hAnsi="Arial" w:cs="Arial"/>
          <w:iCs/>
          <w:sz w:val="20"/>
          <w:szCs w:val="20"/>
          <w:lang w:val="es-ES_tradnl"/>
        </w:rPr>
        <w:t xml:space="preserve"> y </w:t>
      </w:r>
      <w:hyperlink r:id="rId9" w:history="1">
        <w:r w:rsidRPr="00030C4E">
          <w:rPr>
            <w:rStyle w:val="Hipervnculo"/>
            <w:rFonts w:ascii="Arial" w:hAnsi="Arial" w:cs="Arial"/>
            <w:iCs/>
            <w:sz w:val="20"/>
            <w:szCs w:val="20"/>
            <w:lang w:val="es-ES_tradnl"/>
          </w:rPr>
          <w:t>Allianz Trade</w:t>
        </w:r>
      </w:hyperlink>
      <w:r>
        <w:rPr>
          <w:rFonts w:ascii="Arial" w:hAnsi="Arial" w:cs="Arial"/>
          <w:iCs/>
          <w:sz w:val="20"/>
          <w:szCs w:val="20"/>
          <w:lang w:val="es-ES_tradnl"/>
        </w:rPr>
        <w:t xml:space="preserve">. Ponemos al servicio de nuestros clientes una red internacional de vigilancia de riesgos desde la que analizamos la estabilidad financiera de más de 50 millones de empresas. Con una extensa red de distribución, respondemos a las necesidades de compañías de todos los tamaños en un amplio rango de sectores industriales. </w:t>
      </w:r>
      <w:hyperlink r:id="rId10" w:history="1">
        <w:r>
          <w:rPr>
            <w:rStyle w:val="Hipervnculo"/>
            <w:rFonts w:ascii="Arial" w:hAnsi="Arial" w:cs="Arial"/>
            <w:iCs/>
            <w:sz w:val="20"/>
            <w:szCs w:val="20"/>
            <w:lang w:val="es-ES_tradnl"/>
          </w:rPr>
          <w:t>www.solunion.com</w:t>
        </w:r>
      </w:hyperlink>
      <w:r>
        <w:rPr>
          <w:rFonts w:ascii="Arial" w:hAnsi="Arial" w:cs="Arial"/>
          <w:iCs/>
          <w:sz w:val="20"/>
          <w:szCs w:val="20"/>
          <w:lang w:val="es-ES_tradnl"/>
        </w:rPr>
        <w:t xml:space="preserve">  </w:t>
      </w:r>
    </w:p>
    <w:p w14:paraId="71DB6FA8" w14:textId="566C2E8B" w:rsidR="002900FB" w:rsidRPr="004A5616" w:rsidRDefault="002900FB" w:rsidP="004A5616">
      <w:pPr>
        <w:ind w:left="-567" w:right="-285"/>
        <w:jc w:val="both"/>
        <w:rPr>
          <w:rFonts w:ascii="Arial" w:hAnsi="Arial" w:cs="Arial"/>
          <w:iCs/>
          <w:sz w:val="20"/>
          <w:szCs w:val="20"/>
          <w:lang w:val="es-ES_tradnl"/>
        </w:rPr>
      </w:pPr>
      <w:bookmarkStart w:id="0" w:name="_GoBack"/>
      <w:bookmarkEnd w:id="0"/>
      <w:r>
        <w:rPr>
          <w:rFonts w:ascii="Arial" w:hAnsi="Arial" w:cs="Arial"/>
          <w:b/>
          <w:sz w:val="20"/>
          <w:szCs w:val="20"/>
          <w:lang w:val="es-ES_tradnl"/>
        </w:rPr>
        <w:lastRenderedPageBreak/>
        <w:t xml:space="preserve">Contacto de prensa: </w:t>
      </w:r>
    </w:p>
    <w:p w14:paraId="0A577BE4" w14:textId="77777777" w:rsidR="002900FB" w:rsidRDefault="00A92DB3" w:rsidP="002900FB">
      <w:pPr>
        <w:spacing w:before="100" w:beforeAutospacing="1" w:after="100" w:afterAutospacing="1"/>
        <w:ind w:left="-567" w:right="-568"/>
        <w:rPr>
          <w:rFonts w:ascii="Arial" w:hAnsi="Arial" w:cs="Arial"/>
          <w:sz w:val="20"/>
          <w:szCs w:val="20"/>
          <w:lang w:val="es-ES_tradnl"/>
        </w:rPr>
      </w:pPr>
      <w:r>
        <w:rPr>
          <w:rFonts w:ascii="Arial" w:hAnsi="Arial" w:cs="Arial"/>
          <w:b/>
          <w:sz w:val="20"/>
          <w:szCs w:val="20"/>
          <w:lang w:val="es-ES_tradnl"/>
        </w:rPr>
        <w:t>Solunion</w:t>
      </w:r>
      <w:r w:rsidR="002900FB">
        <w:rPr>
          <w:rFonts w:ascii="Arial" w:hAnsi="Arial" w:cs="Arial"/>
          <w:b/>
          <w:sz w:val="20"/>
          <w:szCs w:val="20"/>
          <w:lang w:val="es-ES_tradnl"/>
        </w:rPr>
        <w:t xml:space="preserve"> – Departamento de Comunicación Corporativa</w:t>
      </w:r>
      <w:r w:rsidR="002900FB">
        <w:rPr>
          <w:rFonts w:ascii="Arial" w:hAnsi="Arial" w:cs="Arial"/>
          <w:b/>
          <w:sz w:val="20"/>
          <w:szCs w:val="20"/>
          <w:lang w:val="es-ES_tradnl"/>
        </w:rPr>
        <w:br/>
      </w:r>
      <w:r w:rsidR="002900FB">
        <w:rPr>
          <w:rFonts w:ascii="Arial" w:hAnsi="Arial" w:cs="Arial"/>
          <w:sz w:val="20"/>
          <w:szCs w:val="20"/>
          <w:lang w:val="es-ES_tradnl"/>
        </w:rPr>
        <w:t xml:space="preserve">Eva Muñoz </w:t>
      </w:r>
      <w:r w:rsidR="002900FB">
        <w:rPr>
          <w:rFonts w:ascii="Arial" w:hAnsi="Arial" w:cs="Arial"/>
          <w:sz w:val="20"/>
          <w:szCs w:val="20"/>
          <w:lang w:val="es-ES_tradnl"/>
        </w:rPr>
        <w:br/>
        <w:t>Tlf. +34 91 417 80 11</w:t>
      </w:r>
      <w:r w:rsidR="002900FB">
        <w:rPr>
          <w:rFonts w:ascii="Arial" w:hAnsi="Arial" w:cs="Arial"/>
          <w:sz w:val="20"/>
          <w:szCs w:val="20"/>
          <w:lang w:val="es-ES_tradnl"/>
        </w:rPr>
        <w:br/>
      </w:r>
      <w:hyperlink r:id="rId11" w:history="1">
        <w:r w:rsidR="002900FB" w:rsidRPr="00813B91">
          <w:rPr>
            <w:rStyle w:val="Hipervnculo"/>
            <w:rFonts w:ascii="Arial" w:hAnsi="Arial" w:cs="Arial"/>
            <w:sz w:val="20"/>
            <w:szCs w:val="20"/>
          </w:rPr>
          <w:t>eva.munoz@solunion.com</w:t>
        </w:r>
      </w:hyperlink>
      <w:r w:rsidR="002900FB">
        <w:rPr>
          <w:rFonts w:ascii="Arial" w:hAnsi="Arial" w:cs="Arial"/>
          <w:sz w:val="20"/>
          <w:szCs w:val="20"/>
        </w:rPr>
        <w:t xml:space="preserve"> </w:t>
      </w:r>
    </w:p>
    <w:p w14:paraId="5938970B" w14:textId="77777777" w:rsidR="002900FB" w:rsidRDefault="002900FB" w:rsidP="002900FB">
      <w:pPr>
        <w:ind w:left="-567" w:right="-568"/>
        <w:rPr>
          <w:rFonts w:ascii="Arial" w:hAnsi="Arial" w:cs="Arial"/>
        </w:rPr>
      </w:pPr>
      <w:r>
        <w:rPr>
          <w:rFonts w:ascii="Arial" w:hAnsi="Arial" w:cs="Arial"/>
          <w:sz w:val="20"/>
          <w:szCs w:val="20"/>
          <w:lang w:val="es-ES_tradnl"/>
        </w:rPr>
        <w:t xml:space="preserve">Avda. General Perón, 40 – 2ª planta </w:t>
      </w:r>
      <w:r>
        <w:rPr>
          <w:rFonts w:ascii="Arial" w:hAnsi="Arial" w:cs="Arial"/>
          <w:sz w:val="20"/>
          <w:szCs w:val="20"/>
          <w:lang w:val="es-ES_tradnl"/>
        </w:rPr>
        <w:br/>
      </w:r>
      <w:r>
        <w:rPr>
          <w:rFonts w:ascii="Arial" w:hAnsi="Arial" w:cs="Arial"/>
          <w:iCs/>
          <w:sz w:val="20"/>
          <w:lang w:val="es-ES_tradnl"/>
        </w:rPr>
        <w:t>28020 Madrid</w:t>
      </w:r>
      <w:r>
        <w:rPr>
          <w:rFonts w:ascii="Arial" w:hAnsi="Arial" w:cs="Arial"/>
        </w:rPr>
        <w:tab/>
      </w:r>
    </w:p>
    <w:p w14:paraId="6161CFAF" w14:textId="77777777" w:rsidR="007C1353" w:rsidRDefault="007C1353" w:rsidP="002900FB">
      <w:pPr>
        <w:ind w:left="-567" w:right="-568"/>
        <w:rPr>
          <w:rFonts w:ascii="Arial" w:hAnsi="Arial" w:cs="Arial"/>
          <w:b/>
          <w:sz w:val="14"/>
          <w:szCs w:val="14"/>
          <w:lang w:val="es-ES_tradnl"/>
        </w:rPr>
      </w:pPr>
    </w:p>
    <w:p w14:paraId="66AD0967" w14:textId="77777777" w:rsidR="007C1353" w:rsidRDefault="007C1353" w:rsidP="002900FB">
      <w:pPr>
        <w:ind w:left="-567" w:right="-568"/>
        <w:rPr>
          <w:rFonts w:ascii="Arial" w:hAnsi="Arial" w:cs="Arial"/>
          <w:b/>
          <w:sz w:val="14"/>
          <w:szCs w:val="14"/>
          <w:lang w:val="es-ES_tradnl"/>
        </w:rPr>
      </w:pPr>
    </w:p>
    <w:p w14:paraId="0EB7A890" w14:textId="00696750" w:rsidR="002900FB" w:rsidRDefault="002900FB" w:rsidP="002900FB">
      <w:pPr>
        <w:ind w:left="-567" w:right="-568"/>
        <w:rPr>
          <w:rFonts w:ascii="Arial" w:hAnsi="Arial" w:cs="Arial"/>
          <w:sz w:val="14"/>
          <w:szCs w:val="14"/>
          <w:lang w:val="es-ES_tradnl"/>
        </w:rPr>
      </w:pPr>
      <w:r>
        <w:rPr>
          <w:rFonts w:ascii="Arial" w:hAnsi="Arial" w:cs="Arial"/>
          <w:b/>
          <w:sz w:val="14"/>
          <w:szCs w:val="14"/>
          <w:lang w:val="es-ES_tradnl"/>
        </w:rPr>
        <w:t>Advertencia</w:t>
      </w:r>
      <w:r>
        <w:rPr>
          <w:rFonts w:ascii="Arial" w:hAnsi="Arial" w:cs="Arial"/>
          <w:sz w:val="14"/>
          <w:szCs w:val="14"/>
          <w:lang w:val="es-ES_tradnl"/>
        </w:rPr>
        <w:t xml:space="preserve">: </w:t>
      </w:r>
    </w:p>
    <w:p w14:paraId="36CA4B38" w14:textId="77777777" w:rsidR="002900FB" w:rsidRDefault="002900FB" w:rsidP="002900FB">
      <w:pPr>
        <w:ind w:left="-567" w:right="-568"/>
        <w:jc w:val="both"/>
        <w:rPr>
          <w:rFonts w:ascii="Arial" w:hAnsi="Arial" w:cs="Arial"/>
          <w:sz w:val="14"/>
          <w:szCs w:val="14"/>
          <w:lang w:val="es-ES_tradnl"/>
        </w:rPr>
      </w:pPr>
      <w:r>
        <w:rPr>
          <w:rFonts w:ascii="Arial" w:hAnsi="Arial" w:cs="Arial"/>
          <w:sz w:val="14"/>
          <w:szCs w:val="14"/>
          <w:lang w:val="es-ES_tradnl"/>
        </w:rPr>
        <w:t xml:space="preserve">Algunas de las afirmaciones contenidas en el presente documento pueden tener la naturaleza de meras expectativas o previsiones basadas en opiniones o puntos de vista actuales de la Dirección de la Compañía. Estas afirmaciones implican una serie de riesgos e incertidumbres, tanto conocidos como desconocidos, que podrían provocar diferencias importantes entre los resultados, actuaciones o acontecimientos reales y aquellos a los que explícita o implícitamente este documento se refiere. El carácter meramente provisional de las afirmaciones que aquí se contienen puede derivarse tanto de la propia naturaleza de la información como del contexto en el que se realizan.  En este sentido, las construcciones del tipo “puede”, “podrá”, “debería”, “se espera”, “pretende”, “anticipa”, “se cree”, “se estima”, “se prevé”, “potencial” o “continúa” y otras similares, constituyen la expresión de </w:t>
      </w:r>
      <w:proofErr w:type="gramStart"/>
      <w:r>
        <w:rPr>
          <w:rFonts w:ascii="Arial" w:hAnsi="Arial" w:cs="Arial"/>
          <w:sz w:val="14"/>
          <w:szCs w:val="14"/>
          <w:lang w:val="es-ES_tradnl"/>
        </w:rPr>
        <w:t>expectativas futuras</w:t>
      </w:r>
      <w:proofErr w:type="gramEnd"/>
      <w:r>
        <w:rPr>
          <w:rFonts w:ascii="Arial" w:hAnsi="Arial" w:cs="Arial"/>
          <w:sz w:val="14"/>
          <w:szCs w:val="14"/>
          <w:lang w:val="es-ES_tradnl"/>
        </w:rPr>
        <w:t xml:space="preserve"> o de meras previsiones.</w:t>
      </w:r>
    </w:p>
    <w:p w14:paraId="09B471F2" w14:textId="77777777" w:rsidR="002900FB" w:rsidRDefault="002900FB" w:rsidP="002900FB">
      <w:pPr>
        <w:autoSpaceDE w:val="0"/>
        <w:autoSpaceDN w:val="0"/>
        <w:adjustRightInd w:val="0"/>
        <w:ind w:left="-567" w:right="-568"/>
        <w:jc w:val="both"/>
        <w:rPr>
          <w:rFonts w:ascii="Arial" w:hAnsi="Arial" w:cs="Arial"/>
          <w:sz w:val="14"/>
          <w:szCs w:val="14"/>
          <w:lang w:val="es-ES_tradnl"/>
        </w:rPr>
      </w:pPr>
      <w:r>
        <w:rPr>
          <w:rFonts w:ascii="Arial" w:hAnsi="Arial" w:cs="Arial"/>
          <w:sz w:val="14"/>
          <w:szCs w:val="14"/>
          <w:lang w:val="es-ES_tradnl"/>
        </w:rPr>
        <w:t>Los resultados, actuaciones o acontecimientos reales pueden diferir materialmente de aquellos reflejados en este documento, debido, entre otras causas a (i) la coyuntura económica general; (</w:t>
      </w:r>
      <w:proofErr w:type="spellStart"/>
      <w:r>
        <w:rPr>
          <w:rFonts w:ascii="Arial" w:hAnsi="Arial" w:cs="Arial"/>
          <w:sz w:val="14"/>
          <w:szCs w:val="14"/>
          <w:lang w:val="es-ES_tradnl"/>
        </w:rPr>
        <w:t>ii</w:t>
      </w:r>
      <w:proofErr w:type="spellEnd"/>
      <w:r>
        <w:rPr>
          <w:rFonts w:ascii="Arial" w:hAnsi="Arial" w:cs="Arial"/>
          <w:sz w:val="14"/>
          <w:szCs w:val="14"/>
          <w:lang w:val="es-ES_tradnl"/>
        </w:rPr>
        <w:t>) el desarrollo de los mercados financieros y, en especial, de los mercados emergentes, de su volatilidad, de su liquidez y de crisis de crédito; (</w:t>
      </w:r>
      <w:proofErr w:type="spellStart"/>
      <w:r>
        <w:rPr>
          <w:rFonts w:ascii="Arial" w:hAnsi="Arial" w:cs="Arial"/>
          <w:sz w:val="14"/>
          <w:szCs w:val="14"/>
          <w:lang w:val="es-ES_tradnl"/>
        </w:rPr>
        <w:t>iii</w:t>
      </w:r>
      <w:proofErr w:type="spellEnd"/>
      <w:r>
        <w:rPr>
          <w:rFonts w:ascii="Arial" w:hAnsi="Arial" w:cs="Arial"/>
          <w:sz w:val="14"/>
          <w:szCs w:val="14"/>
          <w:lang w:val="es-ES_tradnl"/>
        </w:rPr>
        <w:t>) la frecuencia e intensidad de los siniestros asegurados; (</w:t>
      </w:r>
      <w:proofErr w:type="spellStart"/>
      <w:r>
        <w:rPr>
          <w:rFonts w:ascii="Arial" w:hAnsi="Arial" w:cs="Arial"/>
          <w:sz w:val="14"/>
          <w:szCs w:val="14"/>
          <w:lang w:val="es-ES_tradnl"/>
        </w:rPr>
        <w:t>iv</w:t>
      </w:r>
      <w:proofErr w:type="spellEnd"/>
      <w:r>
        <w:rPr>
          <w:rFonts w:ascii="Arial" w:hAnsi="Arial" w:cs="Arial"/>
          <w:sz w:val="14"/>
          <w:szCs w:val="14"/>
          <w:lang w:val="es-ES_tradnl"/>
        </w:rPr>
        <w:t>) la tasa de conservación de negocio; (v) niveles de morosidad; (vi) la evolución de los tipos de interés; (</w:t>
      </w:r>
      <w:proofErr w:type="spellStart"/>
      <w:r>
        <w:rPr>
          <w:rFonts w:ascii="Arial" w:hAnsi="Arial" w:cs="Arial"/>
          <w:sz w:val="14"/>
          <w:szCs w:val="14"/>
          <w:lang w:val="es-ES_tradnl"/>
        </w:rPr>
        <w:t>vii</w:t>
      </w:r>
      <w:proofErr w:type="spellEnd"/>
      <w:r>
        <w:rPr>
          <w:rFonts w:ascii="Arial" w:hAnsi="Arial" w:cs="Arial"/>
          <w:sz w:val="14"/>
          <w:szCs w:val="14"/>
          <w:lang w:val="es-ES_tradnl"/>
        </w:rPr>
        <w:t>) los tipos de cambio, en especial el tipo de cambio Euro-Dólar; (</w:t>
      </w:r>
      <w:proofErr w:type="spellStart"/>
      <w:r>
        <w:rPr>
          <w:rFonts w:ascii="Arial" w:hAnsi="Arial" w:cs="Arial"/>
          <w:sz w:val="14"/>
          <w:szCs w:val="14"/>
          <w:lang w:val="es-ES_tradnl"/>
        </w:rPr>
        <w:t>viii</w:t>
      </w:r>
      <w:proofErr w:type="spellEnd"/>
      <w:r>
        <w:rPr>
          <w:rFonts w:ascii="Arial" w:hAnsi="Arial" w:cs="Arial"/>
          <w:sz w:val="14"/>
          <w:szCs w:val="14"/>
          <w:lang w:val="es-ES_tradnl"/>
        </w:rPr>
        <w:t>) la competencia; (</w:t>
      </w:r>
      <w:proofErr w:type="spellStart"/>
      <w:r>
        <w:rPr>
          <w:rFonts w:ascii="Arial" w:hAnsi="Arial" w:cs="Arial"/>
          <w:sz w:val="14"/>
          <w:szCs w:val="14"/>
          <w:lang w:val="es-ES_tradnl"/>
        </w:rPr>
        <w:t>ix</w:t>
      </w:r>
      <w:proofErr w:type="spellEnd"/>
      <w:r>
        <w:rPr>
          <w:rFonts w:ascii="Arial" w:hAnsi="Arial" w:cs="Arial"/>
          <w:sz w:val="14"/>
          <w:szCs w:val="14"/>
          <w:lang w:val="es-ES_tradnl"/>
        </w:rPr>
        <w:t>) los cambios legislativos y regulatorios, incluyendo los referentes a la convergencia monetaria y la Unión Monetaria Europea; (x) los cambios en la política de los bancos centrales y/o de los gobiernos extranjeros; (xi) el impacto de adquisiciones, incluyendo las integraciones; (</w:t>
      </w:r>
      <w:proofErr w:type="spellStart"/>
      <w:r>
        <w:rPr>
          <w:rFonts w:ascii="Arial" w:hAnsi="Arial" w:cs="Arial"/>
          <w:sz w:val="14"/>
          <w:szCs w:val="14"/>
          <w:lang w:val="es-ES_tradnl"/>
        </w:rPr>
        <w:t>xii</w:t>
      </w:r>
      <w:proofErr w:type="spellEnd"/>
      <w:r>
        <w:rPr>
          <w:rFonts w:ascii="Arial" w:hAnsi="Arial" w:cs="Arial"/>
          <w:sz w:val="14"/>
          <w:szCs w:val="14"/>
          <w:lang w:val="es-ES_tradnl"/>
        </w:rPr>
        <w:t>) las operaciones de reorganización y (</w:t>
      </w:r>
      <w:proofErr w:type="spellStart"/>
      <w:r>
        <w:rPr>
          <w:rFonts w:ascii="Arial" w:hAnsi="Arial" w:cs="Arial"/>
          <w:sz w:val="14"/>
          <w:szCs w:val="14"/>
          <w:lang w:val="es-ES_tradnl"/>
        </w:rPr>
        <w:t>xiii</w:t>
      </w:r>
      <w:proofErr w:type="spellEnd"/>
      <w:r>
        <w:rPr>
          <w:rFonts w:ascii="Arial" w:hAnsi="Arial" w:cs="Arial"/>
          <w:sz w:val="14"/>
          <w:szCs w:val="14"/>
          <w:lang w:val="es-ES_tradnl"/>
        </w:rPr>
        <w:t xml:space="preserve">) los factores generales que incidan sobre la competencia, ya sean a nivel local, regional, nacional y/o global. Muchos de estos factores tienen mayor probabilidad de ocurrir o pueden ser de carácter más pronunciado, en caso de actos terroristas. </w:t>
      </w:r>
    </w:p>
    <w:p w14:paraId="6A841925" w14:textId="77777777" w:rsidR="0049077A" w:rsidRDefault="002900FB" w:rsidP="006F6BF2">
      <w:pPr>
        <w:autoSpaceDE w:val="0"/>
        <w:autoSpaceDN w:val="0"/>
        <w:adjustRightInd w:val="0"/>
        <w:ind w:left="-567" w:right="-568"/>
        <w:jc w:val="both"/>
      </w:pPr>
      <w:r>
        <w:rPr>
          <w:rFonts w:ascii="Arial" w:hAnsi="Arial" w:cs="Arial"/>
          <w:sz w:val="14"/>
          <w:szCs w:val="14"/>
          <w:lang w:val="es-ES_tradnl"/>
        </w:rPr>
        <w:t>La compañía no está obligada a actualizar las previsiones contenidas en el presente documento.</w:t>
      </w:r>
    </w:p>
    <w:sectPr w:rsidR="0049077A" w:rsidSect="00E73016">
      <w:headerReference w:type="default" r:id="rId12"/>
      <w:headerReference w:type="first" r:id="rId13"/>
      <w:type w:val="continuous"/>
      <w:pgSz w:w="11920" w:h="16840"/>
      <w:pgMar w:top="2529" w:right="1288" w:bottom="1276" w:left="1678"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EDFB6" w14:textId="77777777" w:rsidR="002A6923" w:rsidRDefault="002A6923" w:rsidP="0049077A">
      <w:pPr>
        <w:spacing w:after="0" w:line="240" w:lineRule="auto"/>
      </w:pPr>
      <w:r>
        <w:separator/>
      </w:r>
    </w:p>
  </w:endnote>
  <w:endnote w:type="continuationSeparator" w:id="0">
    <w:p w14:paraId="2D264937" w14:textId="77777777" w:rsidR="002A6923" w:rsidRDefault="002A6923" w:rsidP="00490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buntu">
    <w:panose1 w:val="020B0504030602030204"/>
    <w:charset w:val="00"/>
    <w:family w:val="swiss"/>
    <w:pitch w:val="variable"/>
    <w:sig w:usb0="E00002F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notTrueType/>
    <w:pitch w:val="variable"/>
    <w:sig w:usb0="600002F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77928" w14:textId="77777777" w:rsidR="002A6923" w:rsidRDefault="002A6923" w:rsidP="0049077A">
      <w:pPr>
        <w:spacing w:after="0" w:line="240" w:lineRule="auto"/>
      </w:pPr>
      <w:r>
        <w:separator/>
      </w:r>
    </w:p>
  </w:footnote>
  <w:footnote w:type="continuationSeparator" w:id="0">
    <w:p w14:paraId="40DE6A1A" w14:textId="77777777" w:rsidR="002A6923" w:rsidRDefault="002A6923" w:rsidP="004907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F2CFC" w14:textId="77777777" w:rsidR="0049077A" w:rsidRDefault="0068153F">
    <w:pPr>
      <w:pStyle w:val="Encabezado"/>
    </w:pPr>
    <w:r>
      <w:rPr>
        <w:noProof/>
      </w:rPr>
      <w:drawing>
        <wp:anchor distT="0" distB="0" distL="114300" distR="114300" simplePos="0" relativeHeight="251661312" behindDoc="1" locked="0" layoutInCell="1" allowOverlap="1" wp14:anchorId="6B2DE71F" wp14:editId="5B088CF1">
          <wp:simplePos x="0" y="0"/>
          <wp:positionH relativeFrom="column">
            <wp:posOffset>3832225</wp:posOffset>
          </wp:positionH>
          <wp:positionV relativeFrom="paragraph">
            <wp:posOffset>249555</wp:posOffset>
          </wp:positionV>
          <wp:extent cx="2044700" cy="651510"/>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4700" cy="6515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A0F00" w14:textId="77777777" w:rsidR="0049077A" w:rsidRDefault="0068153F">
    <w:pPr>
      <w:pStyle w:val="Encabezado"/>
    </w:pPr>
    <w:r>
      <w:rPr>
        <w:noProof/>
      </w:rPr>
      <mc:AlternateContent>
        <mc:Choice Requires="wps">
          <w:drawing>
            <wp:anchor distT="45720" distB="45720" distL="114300" distR="114300" simplePos="0" relativeHeight="251663360" behindDoc="0" locked="0" layoutInCell="1" allowOverlap="1" wp14:anchorId="7213DCFA" wp14:editId="7F116471">
              <wp:simplePos x="0" y="0"/>
              <wp:positionH relativeFrom="column">
                <wp:posOffset>-431800</wp:posOffset>
              </wp:positionH>
              <wp:positionV relativeFrom="paragraph">
                <wp:posOffset>421640</wp:posOffset>
              </wp:positionV>
              <wp:extent cx="2594610" cy="487045"/>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4610" cy="48704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80C8238" w14:textId="77777777" w:rsidR="0068153F" w:rsidRPr="0068153F" w:rsidRDefault="0068153F">
                          <w:pPr>
                            <w:rPr>
                              <w:rFonts w:ascii="Arial" w:hAnsi="Arial" w:cs="Arial"/>
                              <w:sz w:val="32"/>
                              <w:szCs w:val="32"/>
                            </w:rPr>
                          </w:pPr>
                          <w:r w:rsidRPr="0068153F">
                            <w:rPr>
                              <w:rFonts w:ascii="Arial" w:hAnsi="Arial" w:cs="Arial"/>
                              <w:sz w:val="32"/>
                              <w:szCs w:val="32"/>
                            </w:rPr>
                            <w:t>Nota de prensa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213DCFA" id="_x0000_t202" coordsize="21600,21600" o:spt="202" path="m,l,21600r21600,l21600,xe">
              <v:stroke joinstyle="miter"/>
              <v:path gradientshapeok="t" o:connecttype="rect"/>
            </v:shapetype>
            <v:shape id="Cuadro de texto 2" o:spid="_x0000_s1026" type="#_x0000_t202" style="position:absolute;margin-left:-34pt;margin-top:33.2pt;width:204.3pt;height:38.3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" stroked="f" strokeweight="0">
              <v:textbox style="mso-fit-shape-to-text:t">
                <w:txbxContent>
                  <w:p w14:paraId="680C8238" w14:textId="77777777" w:rsidR="0068153F" w:rsidRPr="0068153F" w:rsidRDefault="0068153F">
                    <w:pPr>
                      <w:rPr>
                        <w:rFonts w:ascii="Arial" w:hAnsi="Arial" w:cs="Arial"/>
                        <w:sz w:val="32"/>
                        <w:szCs w:val="32"/>
                      </w:rPr>
                    </w:pPr>
                    <w:r w:rsidRPr="0068153F">
                      <w:rPr>
                        <w:rFonts w:ascii="Arial" w:hAnsi="Arial" w:cs="Arial"/>
                        <w:sz w:val="32"/>
                        <w:szCs w:val="32"/>
                      </w:rPr>
                      <w:t>Nota de prensa</w:t>
                    </w:r>
                  </w:p>
                </w:txbxContent>
              </v:textbox>
              <w10:wrap type="square"/>
            </v:shape>
          </w:pict>
        </mc:Fallback>
      </mc:AlternateContent>
    </w:r>
    <w:r>
      <w:rPr>
        <w:noProof/>
      </w:rPr>
      <w:drawing>
        <wp:anchor distT="0" distB="0" distL="114300" distR="114300" simplePos="0" relativeHeight="251660288" behindDoc="0" locked="0" layoutInCell="1" allowOverlap="1" wp14:anchorId="59474C8B" wp14:editId="1F505653">
          <wp:simplePos x="0" y="0"/>
          <wp:positionH relativeFrom="column">
            <wp:posOffset>3179445</wp:posOffset>
          </wp:positionH>
          <wp:positionV relativeFrom="paragraph">
            <wp:posOffset>-16510</wp:posOffset>
          </wp:positionV>
          <wp:extent cx="2637155" cy="845185"/>
          <wp:effectExtent l="0" t="0" r="0" b="0"/>
          <wp:wrapSquare wrapText="bothSides"/>
          <wp:docPr id="13" name="Imagen 1" descr="C:\Users\MARAFE1\Desktop\Logo_morado_fondo_bla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MARAFE1\Desktop\Logo_morado_fondo_blanco.jpg"/>
                  <pic:cNvPicPr>
                    <a:picLocks noChangeAspect="1" noChangeArrowheads="1"/>
                  </pic:cNvPicPr>
                </pic:nvPicPr>
                <pic:blipFill>
                  <a:blip r:embed="rId1">
                    <a:extLst>
                      <a:ext uri="{28A0092B-C50C-407E-A947-70E740481C1C}">
                        <a14:useLocalDpi xmlns:a14="http://schemas.microsoft.com/office/drawing/2010/main" val="0"/>
                      </a:ext>
                    </a:extLst>
                  </a:blip>
                  <a:srcRect l="24323" t="36354" r="24416" b="36696"/>
                  <a:stretch>
                    <a:fillRect/>
                  </a:stretch>
                </pic:blipFill>
                <pic:spPr bwMode="auto">
                  <a:xfrm>
                    <a:off x="0" y="0"/>
                    <a:ext cx="2637155" cy="8451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34FFC"/>
    <w:multiLevelType w:val="hybridMultilevel"/>
    <w:tmpl w:val="00505E0A"/>
    <w:lvl w:ilvl="0" w:tplc="BD1EA94A">
      <w:numFmt w:val="bullet"/>
      <w:lvlText w:val="-"/>
      <w:lvlJc w:val="left"/>
      <w:pPr>
        <w:ind w:left="-207" w:hanging="360"/>
      </w:pPr>
      <w:rPr>
        <w:rFonts w:ascii="Arial" w:eastAsia="Times New Roman" w:hAnsi="Arial" w:cs="Arial" w:hint="default"/>
      </w:rPr>
    </w:lvl>
    <w:lvl w:ilvl="1" w:tplc="0C0A0003" w:tentative="1">
      <w:start w:val="1"/>
      <w:numFmt w:val="bullet"/>
      <w:lvlText w:val="o"/>
      <w:lvlJc w:val="left"/>
      <w:pPr>
        <w:ind w:left="513" w:hanging="360"/>
      </w:pPr>
      <w:rPr>
        <w:rFonts w:ascii="Courier New" w:hAnsi="Courier New" w:cs="Courier New" w:hint="default"/>
      </w:rPr>
    </w:lvl>
    <w:lvl w:ilvl="2" w:tplc="0C0A0005" w:tentative="1">
      <w:start w:val="1"/>
      <w:numFmt w:val="bullet"/>
      <w:lvlText w:val=""/>
      <w:lvlJc w:val="left"/>
      <w:pPr>
        <w:ind w:left="1233" w:hanging="360"/>
      </w:pPr>
      <w:rPr>
        <w:rFonts w:ascii="Wingdings" w:hAnsi="Wingdings" w:hint="default"/>
      </w:rPr>
    </w:lvl>
    <w:lvl w:ilvl="3" w:tplc="0C0A0001" w:tentative="1">
      <w:start w:val="1"/>
      <w:numFmt w:val="bullet"/>
      <w:lvlText w:val=""/>
      <w:lvlJc w:val="left"/>
      <w:pPr>
        <w:ind w:left="1953" w:hanging="360"/>
      </w:pPr>
      <w:rPr>
        <w:rFonts w:ascii="Symbol" w:hAnsi="Symbol" w:hint="default"/>
      </w:rPr>
    </w:lvl>
    <w:lvl w:ilvl="4" w:tplc="0C0A0003" w:tentative="1">
      <w:start w:val="1"/>
      <w:numFmt w:val="bullet"/>
      <w:lvlText w:val="o"/>
      <w:lvlJc w:val="left"/>
      <w:pPr>
        <w:ind w:left="2673" w:hanging="360"/>
      </w:pPr>
      <w:rPr>
        <w:rFonts w:ascii="Courier New" w:hAnsi="Courier New" w:cs="Courier New" w:hint="default"/>
      </w:rPr>
    </w:lvl>
    <w:lvl w:ilvl="5" w:tplc="0C0A0005" w:tentative="1">
      <w:start w:val="1"/>
      <w:numFmt w:val="bullet"/>
      <w:lvlText w:val=""/>
      <w:lvlJc w:val="left"/>
      <w:pPr>
        <w:ind w:left="3393" w:hanging="360"/>
      </w:pPr>
      <w:rPr>
        <w:rFonts w:ascii="Wingdings" w:hAnsi="Wingdings" w:hint="default"/>
      </w:rPr>
    </w:lvl>
    <w:lvl w:ilvl="6" w:tplc="0C0A0001" w:tentative="1">
      <w:start w:val="1"/>
      <w:numFmt w:val="bullet"/>
      <w:lvlText w:val=""/>
      <w:lvlJc w:val="left"/>
      <w:pPr>
        <w:ind w:left="4113" w:hanging="360"/>
      </w:pPr>
      <w:rPr>
        <w:rFonts w:ascii="Symbol" w:hAnsi="Symbol" w:hint="default"/>
      </w:rPr>
    </w:lvl>
    <w:lvl w:ilvl="7" w:tplc="0C0A0003" w:tentative="1">
      <w:start w:val="1"/>
      <w:numFmt w:val="bullet"/>
      <w:lvlText w:val="o"/>
      <w:lvlJc w:val="left"/>
      <w:pPr>
        <w:ind w:left="4833" w:hanging="360"/>
      </w:pPr>
      <w:rPr>
        <w:rFonts w:ascii="Courier New" w:hAnsi="Courier New" w:cs="Courier New" w:hint="default"/>
      </w:rPr>
    </w:lvl>
    <w:lvl w:ilvl="8" w:tplc="0C0A0005" w:tentative="1">
      <w:start w:val="1"/>
      <w:numFmt w:val="bullet"/>
      <w:lvlText w:val=""/>
      <w:lvlJc w:val="left"/>
      <w:pPr>
        <w:ind w:left="5553" w:hanging="360"/>
      </w:pPr>
      <w:rPr>
        <w:rFonts w:ascii="Wingdings" w:hAnsi="Wingdings" w:hint="default"/>
      </w:rPr>
    </w:lvl>
  </w:abstractNum>
  <w:abstractNum w:abstractNumId="1" w15:restartNumberingAfterBreak="0">
    <w:nsid w:val="10A253AF"/>
    <w:multiLevelType w:val="hybridMultilevel"/>
    <w:tmpl w:val="385ED376"/>
    <w:lvl w:ilvl="0" w:tplc="0C0A0001">
      <w:start w:val="1"/>
      <w:numFmt w:val="bullet"/>
      <w:lvlText w:val=""/>
      <w:lvlJc w:val="left"/>
      <w:pPr>
        <w:ind w:left="153"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2" w15:restartNumberingAfterBreak="0">
    <w:nsid w:val="361A49E0"/>
    <w:multiLevelType w:val="hybridMultilevel"/>
    <w:tmpl w:val="AD4266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2FB2118"/>
    <w:multiLevelType w:val="hybridMultilevel"/>
    <w:tmpl w:val="99608038"/>
    <w:lvl w:ilvl="0" w:tplc="82D6CBA0">
      <w:start w:val="1"/>
      <w:numFmt w:val="decimal"/>
      <w:lvlText w:val="%1."/>
      <w:lvlJc w:val="left"/>
      <w:pPr>
        <w:ind w:left="1025" w:hanging="360"/>
      </w:pPr>
      <w:rPr>
        <w:rFonts w:ascii="Ubuntu" w:eastAsia="Arial" w:hAnsi="Ubuntu" w:cs="Arial" w:hint="default"/>
        <w:spacing w:val="-33"/>
        <w:w w:val="99"/>
        <w:sz w:val="24"/>
        <w:szCs w:val="24"/>
        <w:lang w:val="es-ES" w:eastAsia="es-ES" w:bidi="es-ES"/>
      </w:rPr>
    </w:lvl>
    <w:lvl w:ilvl="1" w:tplc="4AC0320E">
      <w:start w:val="1"/>
      <w:numFmt w:val="lowerLetter"/>
      <w:lvlText w:val="%2."/>
      <w:lvlJc w:val="left"/>
      <w:pPr>
        <w:ind w:left="1025" w:hanging="360"/>
      </w:pPr>
      <w:rPr>
        <w:rFonts w:ascii="Ubuntu" w:eastAsia="Arial" w:hAnsi="Ubuntu" w:cs="Arial" w:hint="default"/>
        <w:spacing w:val="-30"/>
        <w:w w:val="99"/>
        <w:sz w:val="24"/>
        <w:szCs w:val="24"/>
        <w:lang w:val="es-ES" w:eastAsia="es-ES" w:bidi="es-ES"/>
      </w:rPr>
    </w:lvl>
    <w:lvl w:ilvl="2" w:tplc="A1CC9A2A">
      <w:numFmt w:val="bullet"/>
      <w:lvlText w:val="•"/>
      <w:lvlJc w:val="left"/>
      <w:pPr>
        <w:ind w:left="2593" w:hanging="360"/>
      </w:pPr>
      <w:rPr>
        <w:rFonts w:hint="default"/>
        <w:lang w:val="es-ES" w:eastAsia="es-ES" w:bidi="es-ES"/>
      </w:rPr>
    </w:lvl>
    <w:lvl w:ilvl="3" w:tplc="EDCC3852">
      <w:numFmt w:val="bullet"/>
      <w:lvlText w:val="•"/>
      <w:lvlJc w:val="left"/>
      <w:pPr>
        <w:ind w:left="3379" w:hanging="360"/>
      </w:pPr>
      <w:rPr>
        <w:rFonts w:hint="default"/>
        <w:lang w:val="es-ES" w:eastAsia="es-ES" w:bidi="es-ES"/>
      </w:rPr>
    </w:lvl>
    <w:lvl w:ilvl="4" w:tplc="E98098FE">
      <w:numFmt w:val="bullet"/>
      <w:lvlText w:val="•"/>
      <w:lvlJc w:val="left"/>
      <w:pPr>
        <w:ind w:left="4166" w:hanging="360"/>
      </w:pPr>
      <w:rPr>
        <w:rFonts w:hint="default"/>
        <w:lang w:val="es-ES" w:eastAsia="es-ES" w:bidi="es-ES"/>
      </w:rPr>
    </w:lvl>
    <w:lvl w:ilvl="5" w:tplc="CA9A2738">
      <w:numFmt w:val="bullet"/>
      <w:lvlText w:val="•"/>
      <w:lvlJc w:val="left"/>
      <w:pPr>
        <w:ind w:left="4953" w:hanging="360"/>
      </w:pPr>
      <w:rPr>
        <w:rFonts w:hint="default"/>
        <w:lang w:val="es-ES" w:eastAsia="es-ES" w:bidi="es-ES"/>
      </w:rPr>
    </w:lvl>
    <w:lvl w:ilvl="6" w:tplc="0342487C">
      <w:numFmt w:val="bullet"/>
      <w:lvlText w:val="•"/>
      <w:lvlJc w:val="left"/>
      <w:pPr>
        <w:ind w:left="5739" w:hanging="360"/>
      </w:pPr>
      <w:rPr>
        <w:rFonts w:hint="default"/>
        <w:lang w:val="es-ES" w:eastAsia="es-ES" w:bidi="es-ES"/>
      </w:rPr>
    </w:lvl>
    <w:lvl w:ilvl="7" w:tplc="53E87FAE">
      <w:numFmt w:val="bullet"/>
      <w:lvlText w:val="•"/>
      <w:lvlJc w:val="left"/>
      <w:pPr>
        <w:ind w:left="6526" w:hanging="360"/>
      </w:pPr>
      <w:rPr>
        <w:rFonts w:hint="default"/>
        <w:lang w:val="es-ES" w:eastAsia="es-ES" w:bidi="es-ES"/>
      </w:rPr>
    </w:lvl>
    <w:lvl w:ilvl="8" w:tplc="BF825A8C">
      <w:numFmt w:val="bullet"/>
      <w:lvlText w:val="•"/>
      <w:lvlJc w:val="left"/>
      <w:pPr>
        <w:ind w:left="7313" w:hanging="360"/>
      </w:pPr>
      <w:rPr>
        <w:rFonts w:hint="default"/>
        <w:lang w:val="es-ES" w:eastAsia="es-ES" w:bidi="es-ES"/>
      </w:rPr>
    </w:lvl>
  </w:abstractNum>
  <w:abstractNum w:abstractNumId="4" w15:restartNumberingAfterBreak="0">
    <w:nsid w:val="5DD92420"/>
    <w:multiLevelType w:val="hybridMultilevel"/>
    <w:tmpl w:val="14045E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6A9067D7"/>
    <w:multiLevelType w:val="hybridMultilevel"/>
    <w:tmpl w:val="C4B6FD32"/>
    <w:lvl w:ilvl="0" w:tplc="0C0A0001">
      <w:start w:val="1"/>
      <w:numFmt w:val="bullet"/>
      <w:lvlText w:val=""/>
      <w:lvlJc w:val="left"/>
      <w:pPr>
        <w:ind w:left="153"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59393"/>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77A"/>
    <w:rsid w:val="00003BCC"/>
    <w:rsid w:val="000200A3"/>
    <w:rsid w:val="00020FB1"/>
    <w:rsid w:val="00022F13"/>
    <w:rsid w:val="00025D72"/>
    <w:rsid w:val="00032ECA"/>
    <w:rsid w:val="00054BB6"/>
    <w:rsid w:val="00056328"/>
    <w:rsid w:val="00060635"/>
    <w:rsid w:val="00086ADA"/>
    <w:rsid w:val="00096B0D"/>
    <w:rsid w:val="000A63FD"/>
    <w:rsid w:val="000B1D44"/>
    <w:rsid w:val="000B513B"/>
    <w:rsid w:val="000B5225"/>
    <w:rsid w:val="000C004F"/>
    <w:rsid w:val="000C3CDF"/>
    <w:rsid w:val="000D26AB"/>
    <w:rsid w:val="000E77DD"/>
    <w:rsid w:val="000F0BF6"/>
    <w:rsid w:val="000F68FA"/>
    <w:rsid w:val="000F6FD2"/>
    <w:rsid w:val="00101C37"/>
    <w:rsid w:val="00107021"/>
    <w:rsid w:val="00115CB4"/>
    <w:rsid w:val="00115EAF"/>
    <w:rsid w:val="0013777A"/>
    <w:rsid w:val="001442BF"/>
    <w:rsid w:val="0014559E"/>
    <w:rsid w:val="0017552C"/>
    <w:rsid w:val="00180B3D"/>
    <w:rsid w:val="00183CF6"/>
    <w:rsid w:val="001A2442"/>
    <w:rsid w:val="001A2BD9"/>
    <w:rsid w:val="001B12DB"/>
    <w:rsid w:val="001C27DA"/>
    <w:rsid w:val="001C3200"/>
    <w:rsid w:val="001C4462"/>
    <w:rsid w:val="001C49E5"/>
    <w:rsid w:val="001C696F"/>
    <w:rsid w:val="001C6D2F"/>
    <w:rsid w:val="001E7FA3"/>
    <w:rsid w:val="001F7D12"/>
    <w:rsid w:val="00200A8B"/>
    <w:rsid w:val="0020283A"/>
    <w:rsid w:val="00223602"/>
    <w:rsid w:val="00230ADC"/>
    <w:rsid w:val="0023258B"/>
    <w:rsid w:val="00246299"/>
    <w:rsid w:val="00265948"/>
    <w:rsid w:val="00274841"/>
    <w:rsid w:val="00280E63"/>
    <w:rsid w:val="002830D3"/>
    <w:rsid w:val="002900FB"/>
    <w:rsid w:val="002A663B"/>
    <w:rsid w:val="002A6923"/>
    <w:rsid w:val="002B04A0"/>
    <w:rsid w:val="002B3852"/>
    <w:rsid w:val="002B50B0"/>
    <w:rsid w:val="002C145E"/>
    <w:rsid w:val="002D0344"/>
    <w:rsid w:val="002D162A"/>
    <w:rsid w:val="002D4A47"/>
    <w:rsid w:val="002F2872"/>
    <w:rsid w:val="002F59F5"/>
    <w:rsid w:val="00324923"/>
    <w:rsid w:val="00327F08"/>
    <w:rsid w:val="00333AE3"/>
    <w:rsid w:val="00342ECB"/>
    <w:rsid w:val="00344D98"/>
    <w:rsid w:val="003461DA"/>
    <w:rsid w:val="0035036B"/>
    <w:rsid w:val="00356190"/>
    <w:rsid w:val="00357F04"/>
    <w:rsid w:val="00357F36"/>
    <w:rsid w:val="00364000"/>
    <w:rsid w:val="003748E8"/>
    <w:rsid w:val="003B6B10"/>
    <w:rsid w:val="003C55D1"/>
    <w:rsid w:val="003D4EFA"/>
    <w:rsid w:val="003F3B43"/>
    <w:rsid w:val="00401FDA"/>
    <w:rsid w:val="00404426"/>
    <w:rsid w:val="00405F61"/>
    <w:rsid w:val="00410A92"/>
    <w:rsid w:val="004207A0"/>
    <w:rsid w:val="004237E1"/>
    <w:rsid w:val="00433A70"/>
    <w:rsid w:val="00437303"/>
    <w:rsid w:val="00452C47"/>
    <w:rsid w:val="0045453F"/>
    <w:rsid w:val="00461419"/>
    <w:rsid w:val="00465CAA"/>
    <w:rsid w:val="004755B6"/>
    <w:rsid w:val="00477679"/>
    <w:rsid w:val="0049077A"/>
    <w:rsid w:val="004A22C7"/>
    <w:rsid w:val="004A2DFA"/>
    <w:rsid w:val="004A4E01"/>
    <w:rsid w:val="004A5616"/>
    <w:rsid w:val="004C0064"/>
    <w:rsid w:val="004C6D2A"/>
    <w:rsid w:val="004C7101"/>
    <w:rsid w:val="004D75EC"/>
    <w:rsid w:val="004D7D84"/>
    <w:rsid w:val="004E23F4"/>
    <w:rsid w:val="004F041C"/>
    <w:rsid w:val="00517BD2"/>
    <w:rsid w:val="00531530"/>
    <w:rsid w:val="005544C8"/>
    <w:rsid w:val="00576E46"/>
    <w:rsid w:val="00586E34"/>
    <w:rsid w:val="005A060E"/>
    <w:rsid w:val="005A6AB8"/>
    <w:rsid w:val="005B27DC"/>
    <w:rsid w:val="005B3D73"/>
    <w:rsid w:val="005C3EE3"/>
    <w:rsid w:val="005D250A"/>
    <w:rsid w:val="005D6458"/>
    <w:rsid w:val="005E022B"/>
    <w:rsid w:val="005F15EA"/>
    <w:rsid w:val="005F2A59"/>
    <w:rsid w:val="005F66E8"/>
    <w:rsid w:val="00603182"/>
    <w:rsid w:val="00610A30"/>
    <w:rsid w:val="00625C3E"/>
    <w:rsid w:val="0063473B"/>
    <w:rsid w:val="00664529"/>
    <w:rsid w:val="006767B3"/>
    <w:rsid w:val="00680F3F"/>
    <w:rsid w:val="0068153F"/>
    <w:rsid w:val="006957F3"/>
    <w:rsid w:val="00696243"/>
    <w:rsid w:val="006A3AF3"/>
    <w:rsid w:val="006B56D3"/>
    <w:rsid w:val="006D0193"/>
    <w:rsid w:val="006D3E43"/>
    <w:rsid w:val="006E26A8"/>
    <w:rsid w:val="006F6BF2"/>
    <w:rsid w:val="0070152C"/>
    <w:rsid w:val="007019A8"/>
    <w:rsid w:val="00702395"/>
    <w:rsid w:val="00705272"/>
    <w:rsid w:val="00722DC5"/>
    <w:rsid w:val="00723CA9"/>
    <w:rsid w:val="00735B5B"/>
    <w:rsid w:val="007514BE"/>
    <w:rsid w:val="0077069D"/>
    <w:rsid w:val="00773A25"/>
    <w:rsid w:val="00795275"/>
    <w:rsid w:val="007B5FE3"/>
    <w:rsid w:val="007C1353"/>
    <w:rsid w:val="007C3515"/>
    <w:rsid w:val="007C3E3B"/>
    <w:rsid w:val="007C4FBD"/>
    <w:rsid w:val="007D7E33"/>
    <w:rsid w:val="007E2555"/>
    <w:rsid w:val="008220DE"/>
    <w:rsid w:val="00823C71"/>
    <w:rsid w:val="00830BE6"/>
    <w:rsid w:val="00833DB8"/>
    <w:rsid w:val="00834A23"/>
    <w:rsid w:val="00841359"/>
    <w:rsid w:val="0085649D"/>
    <w:rsid w:val="008667F7"/>
    <w:rsid w:val="00872490"/>
    <w:rsid w:val="00882A73"/>
    <w:rsid w:val="00886B1F"/>
    <w:rsid w:val="00895171"/>
    <w:rsid w:val="00897627"/>
    <w:rsid w:val="008A6F91"/>
    <w:rsid w:val="008B22B7"/>
    <w:rsid w:val="008B41BB"/>
    <w:rsid w:val="008C5B34"/>
    <w:rsid w:val="008F0336"/>
    <w:rsid w:val="008F2E11"/>
    <w:rsid w:val="00903E90"/>
    <w:rsid w:val="00905E77"/>
    <w:rsid w:val="009129F8"/>
    <w:rsid w:val="009301E5"/>
    <w:rsid w:val="00942597"/>
    <w:rsid w:val="009456CC"/>
    <w:rsid w:val="0094622D"/>
    <w:rsid w:val="00950FA2"/>
    <w:rsid w:val="00960259"/>
    <w:rsid w:val="00961608"/>
    <w:rsid w:val="0096208B"/>
    <w:rsid w:val="00964C4A"/>
    <w:rsid w:val="00966A21"/>
    <w:rsid w:val="00976107"/>
    <w:rsid w:val="009804F2"/>
    <w:rsid w:val="0098055D"/>
    <w:rsid w:val="00980C4C"/>
    <w:rsid w:val="00987039"/>
    <w:rsid w:val="009911BC"/>
    <w:rsid w:val="009B0DF3"/>
    <w:rsid w:val="009B2B02"/>
    <w:rsid w:val="009B5EDF"/>
    <w:rsid w:val="009B6EA3"/>
    <w:rsid w:val="009B7441"/>
    <w:rsid w:val="009C069E"/>
    <w:rsid w:val="00A07260"/>
    <w:rsid w:val="00A1043F"/>
    <w:rsid w:val="00A21934"/>
    <w:rsid w:val="00A23522"/>
    <w:rsid w:val="00A431DC"/>
    <w:rsid w:val="00A56F3D"/>
    <w:rsid w:val="00A60021"/>
    <w:rsid w:val="00A64D6E"/>
    <w:rsid w:val="00A7051C"/>
    <w:rsid w:val="00A72310"/>
    <w:rsid w:val="00A80B0C"/>
    <w:rsid w:val="00A91D68"/>
    <w:rsid w:val="00A92DB3"/>
    <w:rsid w:val="00A96FC5"/>
    <w:rsid w:val="00A97F20"/>
    <w:rsid w:val="00AB2F4B"/>
    <w:rsid w:val="00AB575F"/>
    <w:rsid w:val="00AC719A"/>
    <w:rsid w:val="00AC79A3"/>
    <w:rsid w:val="00AE4754"/>
    <w:rsid w:val="00AF4779"/>
    <w:rsid w:val="00AF70ED"/>
    <w:rsid w:val="00B07815"/>
    <w:rsid w:val="00B10BC2"/>
    <w:rsid w:val="00B14889"/>
    <w:rsid w:val="00B161C1"/>
    <w:rsid w:val="00B23F8D"/>
    <w:rsid w:val="00B54F8B"/>
    <w:rsid w:val="00B561B1"/>
    <w:rsid w:val="00B578B9"/>
    <w:rsid w:val="00B6128C"/>
    <w:rsid w:val="00B6463B"/>
    <w:rsid w:val="00B677B8"/>
    <w:rsid w:val="00B81750"/>
    <w:rsid w:val="00B97AD2"/>
    <w:rsid w:val="00BB1889"/>
    <w:rsid w:val="00BB21B5"/>
    <w:rsid w:val="00BB446C"/>
    <w:rsid w:val="00BB4A34"/>
    <w:rsid w:val="00BB7568"/>
    <w:rsid w:val="00BE2314"/>
    <w:rsid w:val="00BE4F29"/>
    <w:rsid w:val="00C16320"/>
    <w:rsid w:val="00C24599"/>
    <w:rsid w:val="00C31513"/>
    <w:rsid w:val="00C40B2F"/>
    <w:rsid w:val="00C44E6F"/>
    <w:rsid w:val="00C60EFD"/>
    <w:rsid w:val="00C63D9A"/>
    <w:rsid w:val="00C679A7"/>
    <w:rsid w:val="00C76DA1"/>
    <w:rsid w:val="00C80EC5"/>
    <w:rsid w:val="00C83E6F"/>
    <w:rsid w:val="00CA010C"/>
    <w:rsid w:val="00CA4368"/>
    <w:rsid w:val="00CB3507"/>
    <w:rsid w:val="00CE2B2B"/>
    <w:rsid w:val="00CE3CC7"/>
    <w:rsid w:val="00CE5A18"/>
    <w:rsid w:val="00CF4B65"/>
    <w:rsid w:val="00CF5531"/>
    <w:rsid w:val="00D0373A"/>
    <w:rsid w:val="00D0558E"/>
    <w:rsid w:val="00D0737A"/>
    <w:rsid w:val="00D079EA"/>
    <w:rsid w:val="00D10AD7"/>
    <w:rsid w:val="00D1673C"/>
    <w:rsid w:val="00D23717"/>
    <w:rsid w:val="00D2629D"/>
    <w:rsid w:val="00D272A9"/>
    <w:rsid w:val="00D3028A"/>
    <w:rsid w:val="00D3060D"/>
    <w:rsid w:val="00D3346B"/>
    <w:rsid w:val="00D73980"/>
    <w:rsid w:val="00D826C8"/>
    <w:rsid w:val="00D848B8"/>
    <w:rsid w:val="00D918A6"/>
    <w:rsid w:val="00D97990"/>
    <w:rsid w:val="00DC098F"/>
    <w:rsid w:val="00DC30A0"/>
    <w:rsid w:val="00DC7E9A"/>
    <w:rsid w:val="00DD2E1E"/>
    <w:rsid w:val="00DD7A96"/>
    <w:rsid w:val="00DF1DAC"/>
    <w:rsid w:val="00DF706D"/>
    <w:rsid w:val="00E03043"/>
    <w:rsid w:val="00E04A96"/>
    <w:rsid w:val="00E10252"/>
    <w:rsid w:val="00E229BF"/>
    <w:rsid w:val="00E23A98"/>
    <w:rsid w:val="00E41260"/>
    <w:rsid w:val="00E504C3"/>
    <w:rsid w:val="00E72A78"/>
    <w:rsid w:val="00E73016"/>
    <w:rsid w:val="00E745C2"/>
    <w:rsid w:val="00EB00D4"/>
    <w:rsid w:val="00EB03F6"/>
    <w:rsid w:val="00EC0B2B"/>
    <w:rsid w:val="00EC1EF4"/>
    <w:rsid w:val="00EE4CE7"/>
    <w:rsid w:val="00EE6888"/>
    <w:rsid w:val="00EF0C4D"/>
    <w:rsid w:val="00EF2B48"/>
    <w:rsid w:val="00EF45E4"/>
    <w:rsid w:val="00F00483"/>
    <w:rsid w:val="00F04C71"/>
    <w:rsid w:val="00F05C80"/>
    <w:rsid w:val="00F277FC"/>
    <w:rsid w:val="00F33F26"/>
    <w:rsid w:val="00F4669B"/>
    <w:rsid w:val="00F55505"/>
    <w:rsid w:val="00F67DC7"/>
    <w:rsid w:val="00F7225D"/>
    <w:rsid w:val="00F93F03"/>
    <w:rsid w:val="00FD2B93"/>
    <w:rsid w:val="00FE4800"/>
    <w:rsid w:val="00FF402F"/>
    <w:rsid w:val="00FF503D"/>
    <w:rsid w:val="00FF5D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6DA5BFA6"/>
  <w14:defaultImageDpi w14:val="0"/>
  <w15:docId w15:val="{BDE165FC-2659-42F9-9345-7963B51A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style>
  <w:style w:type="paragraph" w:styleId="Ttulo3">
    <w:name w:val="heading 3"/>
    <w:basedOn w:val="Normal"/>
    <w:link w:val="Ttulo3Car"/>
    <w:uiPriority w:val="9"/>
    <w:unhideWhenUsed/>
    <w:qFormat/>
    <w:locked/>
    <w:rsid w:val="005D250A"/>
    <w:pPr>
      <w:spacing w:before="100" w:beforeAutospacing="1" w:after="100" w:afterAutospacing="1" w:line="240" w:lineRule="auto"/>
      <w:outlineLvl w:val="2"/>
    </w:pPr>
    <w:rPr>
      <w:rFonts w:ascii="Times New Roman" w:hAnsi="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9077A"/>
    <w:pPr>
      <w:tabs>
        <w:tab w:val="center" w:pos="4252"/>
        <w:tab w:val="right" w:pos="8504"/>
      </w:tabs>
    </w:pPr>
  </w:style>
  <w:style w:type="character" w:customStyle="1" w:styleId="EncabezadoCar">
    <w:name w:val="Encabezado Car"/>
    <w:basedOn w:val="Fuentedeprrafopredeter"/>
    <w:link w:val="Encabezado"/>
    <w:uiPriority w:val="99"/>
    <w:locked/>
    <w:rsid w:val="0049077A"/>
    <w:rPr>
      <w:rFonts w:cs="Times New Roman"/>
    </w:rPr>
  </w:style>
  <w:style w:type="paragraph" w:styleId="Piedepgina">
    <w:name w:val="footer"/>
    <w:basedOn w:val="Normal"/>
    <w:link w:val="PiedepginaCar"/>
    <w:uiPriority w:val="99"/>
    <w:rsid w:val="0049077A"/>
    <w:pPr>
      <w:tabs>
        <w:tab w:val="center" w:pos="4252"/>
        <w:tab w:val="right" w:pos="8504"/>
      </w:tabs>
    </w:pPr>
  </w:style>
  <w:style w:type="character" w:customStyle="1" w:styleId="PiedepginaCar">
    <w:name w:val="Pie de página Car"/>
    <w:basedOn w:val="Fuentedeprrafopredeter"/>
    <w:link w:val="Piedepgina"/>
    <w:uiPriority w:val="99"/>
    <w:locked/>
    <w:rsid w:val="0049077A"/>
    <w:rPr>
      <w:rFonts w:cs="Times New Roman"/>
    </w:rPr>
  </w:style>
  <w:style w:type="paragraph" w:styleId="Prrafodelista">
    <w:name w:val="List Paragraph"/>
    <w:basedOn w:val="Normal"/>
    <w:uiPriority w:val="34"/>
    <w:qFormat/>
    <w:rsid w:val="00DD7A96"/>
    <w:pPr>
      <w:ind w:left="720"/>
      <w:contextualSpacing/>
    </w:pPr>
  </w:style>
  <w:style w:type="paragraph" w:styleId="NormalWeb">
    <w:name w:val="Normal (Web)"/>
    <w:basedOn w:val="Normal"/>
    <w:uiPriority w:val="99"/>
    <w:semiHidden/>
    <w:unhideWhenUsed/>
    <w:rsid w:val="00096B0D"/>
    <w:pPr>
      <w:spacing w:before="100" w:beforeAutospacing="1" w:after="100" w:afterAutospacing="1" w:line="240" w:lineRule="auto"/>
    </w:pPr>
    <w:rPr>
      <w:rFonts w:ascii="Times New Roman" w:hAnsi="Times New Roman"/>
      <w:sz w:val="24"/>
      <w:szCs w:val="24"/>
    </w:rPr>
  </w:style>
  <w:style w:type="character" w:styleId="Hipervnculo">
    <w:name w:val="Hyperlink"/>
    <w:basedOn w:val="Fuentedeprrafopredeter"/>
    <w:uiPriority w:val="99"/>
    <w:unhideWhenUsed/>
    <w:rsid w:val="002900FB"/>
    <w:rPr>
      <w:color w:val="0000FF"/>
      <w:u w:val="single"/>
    </w:rPr>
  </w:style>
  <w:style w:type="paragraph" w:styleId="Textodeglobo">
    <w:name w:val="Balloon Text"/>
    <w:basedOn w:val="Normal"/>
    <w:link w:val="TextodegloboCar"/>
    <w:uiPriority w:val="99"/>
    <w:semiHidden/>
    <w:unhideWhenUsed/>
    <w:rsid w:val="00EC1EF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1EF4"/>
    <w:rPr>
      <w:rFonts w:ascii="Segoe UI" w:hAnsi="Segoe UI" w:cs="Segoe UI"/>
      <w:sz w:val="18"/>
      <w:szCs w:val="18"/>
    </w:rPr>
  </w:style>
  <w:style w:type="paragraph" w:styleId="Textoindependiente">
    <w:name w:val="Body Text"/>
    <w:basedOn w:val="Normal"/>
    <w:link w:val="TextoindependienteCar"/>
    <w:uiPriority w:val="1"/>
    <w:qFormat/>
    <w:rsid w:val="004E23F4"/>
    <w:pPr>
      <w:widowControl w:val="0"/>
      <w:autoSpaceDE w:val="0"/>
      <w:autoSpaceDN w:val="0"/>
      <w:spacing w:after="0" w:line="240" w:lineRule="auto"/>
    </w:pPr>
    <w:rPr>
      <w:rFonts w:ascii="Arial" w:eastAsia="Arial" w:hAnsi="Arial" w:cs="Arial"/>
      <w:sz w:val="24"/>
      <w:szCs w:val="24"/>
      <w:lang w:bidi="es-ES"/>
    </w:rPr>
  </w:style>
  <w:style w:type="character" w:customStyle="1" w:styleId="TextoindependienteCar">
    <w:name w:val="Texto independiente Car"/>
    <w:basedOn w:val="Fuentedeprrafopredeter"/>
    <w:link w:val="Textoindependiente"/>
    <w:uiPriority w:val="1"/>
    <w:rsid w:val="004E23F4"/>
    <w:rPr>
      <w:rFonts w:ascii="Arial" w:eastAsia="Arial" w:hAnsi="Arial" w:cs="Arial"/>
      <w:sz w:val="24"/>
      <w:szCs w:val="24"/>
      <w:lang w:bidi="es-ES"/>
    </w:rPr>
  </w:style>
  <w:style w:type="character" w:styleId="nfasis">
    <w:name w:val="Emphasis"/>
    <w:basedOn w:val="Fuentedeprrafopredeter"/>
    <w:uiPriority w:val="20"/>
    <w:qFormat/>
    <w:locked/>
    <w:rsid w:val="00274841"/>
    <w:rPr>
      <w:i/>
      <w:iCs/>
    </w:rPr>
  </w:style>
  <w:style w:type="character" w:customStyle="1" w:styleId="Mencinsinresolver1">
    <w:name w:val="Mención sin resolver1"/>
    <w:basedOn w:val="Fuentedeprrafopredeter"/>
    <w:uiPriority w:val="99"/>
    <w:semiHidden/>
    <w:unhideWhenUsed/>
    <w:rsid w:val="004A5616"/>
    <w:rPr>
      <w:color w:val="605E5C"/>
      <w:shd w:val="clear" w:color="auto" w:fill="E1DFDD"/>
    </w:rPr>
  </w:style>
  <w:style w:type="character" w:styleId="Textoennegrita">
    <w:name w:val="Strong"/>
    <w:basedOn w:val="Fuentedeprrafopredeter"/>
    <w:uiPriority w:val="22"/>
    <w:qFormat/>
    <w:locked/>
    <w:rsid w:val="000F0BF6"/>
    <w:rPr>
      <w:b/>
      <w:bCs/>
    </w:rPr>
  </w:style>
  <w:style w:type="paragraph" w:customStyle="1" w:styleId="Default">
    <w:name w:val="Default"/>
    <w:rsid w:val="00A23522"/>
    <w:pPr>
      <w:autoSpaceDE w:val="0"/>
      <w:autoSpaceDN w:val="0"/>
      <w:adjustRightInd w:val="0"/>
      <w:spacing w:after="0" w:line="240" w:lineRule="auto"/>
    </w:pPr>
    <w:rPr>
      <w:rFonts w:ascii="Source Sans Pro" w:eastAsia="Calibri" w:hAnsi="Source Sans Pro" w:cs="Source Sans Pro"/>
      <w:color w:val="000000"/>
      <w:sz w:val="24"/>
      <w:szCs w:val="24"/>
      <w:lang w:eastAsia="en-US"/>
    </w:rPr>
  </w:style>
  <w:style w:type="character" w:customStyle="1" w:styleId="Ttulo3Car">
    <w:name w:val="Título 3 Car"/>
    <w:basedOn w:val="Fuentedeprrafopredeter"/>
    <w:link w:val="Ttulo3"/>
    <w:uiPriority w:val="9"/>
    <w:rsid w:val="005D250A"/>
    <w:rPr>
      <w:rFonts w:ascii="Times New Roman" w:hAnsi="Times New Roman"/>
      <w:b/>
      <w:bCs/>
      <w:sz w:val="27"/>
      <w:szCs w:val="27"/>
    </w:rPr>
  </w:style>
  <w:style w:type="character" w:styleId="Hipervnculovisitado">
    <w:name w:val="FollowedHyperlink"/>
    <w:basedOn w:val="Fuentedeprrafopredeter"/>
    <w:uiPriority w:val="99"/>
    <w:semiHidden/>
    <w:unhideWhenUsed/>
    <w:rsid w:val="00872490"/>
    <w:rPr>
      <w:color w:val="954F72" w:themeColor="followedHyperlink"/>
      <w:u w:val="single"/>
    </w:rPr>
  </w:style>
  <w:style w:type="character" w:styleId="Refdecomentario">
    <w:name w:val="annotation reference"/>
    <w:basedOn w:val="Fuentedeprrafopredeter"/>
    <w:uiPriority w:val="99"/>
    <w:semiHidden/>
    <w:unhideWhenUsed/>
    <w:rsid w:val="006767B3"/>
    <w:rPr>
      <w:sz w:val="16"/>
      <w:szCs w:val="16"/>
    </w:rPr>
  </w:style>
  <w:style w:type="paragraph" w:styleId="Textocomentario">
    <w:name w:val="annotation text"/>
    <w:basedOn w:val="Normal"/>
    <w:link w:val="TextocomentarioCar"/>
    <w:uiPriority w:val="99"/>
    <w:semiHidden/>
    <w:unhideWhenUsed/>
    <w:rsid w:val="006767B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767B3"/>
    <w:rPr>
      <w:sz w:val="20"/>
      <w:szCs w:val="20"/>
    </w:rPr>
  </w:style>
  <w:style w:type="paragraph" w:styleId="Asuntodelcomentario">
    <w:name w:val="annotation subject"/>
    <w:basedOn w:val="Textocomentario"/>
    <w:next w:val="Textocomentario"/>
    <w:link w:val="AsuntodelcomentarioCar"/>
    <w:uiPriority w:val="99"/>
    <w:semiHidden/>
    <w:unhideWhenUsed/>
    <w:rsid w:val="006767B3"/>
    <w:rPr>
      <w:b/>
      <w:bCs/>
    </w:rPr>
  </w:style>
  <w:style w:type="character" w:customStyle="1" w:styleId="AsuntodelcomentarioCar">
    <w:name w:val="Asunto del comentario Car"/>
    <w:basedOn w:val="TextocomentarioCar"/>
    <w:link w:val="Asuntodelcomentario"/>
    <w:uiPriority w:val="99"/>
    <w:semiHidden/>
    <w:rsid w:val="006767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81411">
      <w:bodyDiv w:val="1"/>
      <w:marLeft w:val="0"/>
      <w:marRight w:val="0"/>
      <w:marTop w:val="0"/>
      <w:marBottom w:val="0"/>
      <w:divBdr>
        <w:top w:val="none" w:sz="0" w:space="0" w:color="auto"/>
        <w:left w:val="none" w:sz="0" w:space="0" w:color="auto"/>
        <w:bottom w:val="none" w:sz="0" w:space="0" w:color="auto"/>
        <w:right w:val="none" w:sz="0" w:space="0" w:color="auto"/>
      </w:divBdr>
    </w:div>
    <w:div w:id="531109013">
      <w:bodyDiv w:val="1"/>
      <w:marLeft w:val="0"/>
      <w:marRight w:val="0"/>
      <w:marTop w:val="0"/>
      <w:marBottom w:val="0"/>
      <w:divBdr>
        <w:top w:val="none" w:sz="0" w:space="0" w:color="auto"/>
        <w:left w:val="none" w:sz="0" w:space="0" w:color="auto"/>
        <w:bottom w:val="none" w:sz="0" w:space="0" w:color="auto"/>
        <w:right w:val="none" w:sz="0" w:space="0" w:color="auto"/>
      </w:divBdr>
    </w:div>
    <w:div w:id="569773969">
      <w:bodyDiv w:val="1"/>
      <w:marLeft w:val="0"/>
      <w:marRight w:val="0"/>
      <w:marTop w:val="0"/>
      <w:marBottom w:val="0"/>
      <w:divBdr>
        <w:top w:val="none" w:sz="0" w:space="0" w:color="auto"/>
        <w:left w:val="none" w:sz="0" w:space="0" w:color="auto"/>
        <w:bottom w:val="none" w:sz="0" w:space="0" w:color="auto"/>
        <w:right w:val="none" w:sz="0" w:space="0" w:color="auto"/>
      </w:divBdr>
    </w:div>
    <w:div w:id="702898057">
      <w:bodyDiv w:val="1"/>
      <w:marLeft w:val="0"/>
      <w:marRight w:val="0"/>
      <w:marTop w:val="0"/>
      <w:marBottom w:val="0"/>
      <w:divBdr>
        <w:top w:val="none" w:sz="0" w:space="0" w:color="auto"/>
        <w:left w:val="none" w:sz="0" w:space="0" w:color="auto"/>
        <w:bottom w:val="none" w:sz="0" w:space="0" w:color="auto"/>
        <w:right w:val="none" w:sz="0" w:space="0" w:color="auto"/>
      </w:divBdr>
    </w:div>
    <w:div w:id="887573514">
      <w:bodyDiv w:val="1"/>
      <w:marLeft w:val="0"/>
      <w:marRight w:val="0"/>
      <w:marTop w:val="0"/>
      <w:marBottom w:val="0"/>
      <w:divBdr>
        <w:top w:val="none" w:sz="0" w:space="0" w:color="auto"/>
        <w:left w:val="none" w:sz="0" w:space="0" w:color="auto"/>
        <w:bottom w:val="none" w:sz="0" w:space="0" w:color="auto"/>
        <w:right w:val="none" w:sz="0" w:space="0" w:color="auto"/>
      </w:divBdr>
    </w:div>
    <w:div w:id="926768505">
      <w:bodyDiv w:val="1"/>
      <w:marLeft w:val="0"/>
      <w:marRight w:val="0"/>
      <w:marTop w:val="0"/>
      <w:marBottom w:val="0"/>
      <w:divBdr>
        <w:top w:val="none" w:sz="0" w:space="0" w:color="auto"/>
        <w:left w:val="none" w:sz="0" w:space="0" w:color="auto"/>
        <w:bottom w:val="none" w:sz="0" w:space="0" w:color="auto"/>
        <w:right w:val="none" w:sz="0" w:space="0" w:color="auto"/>
      </w:divBdr>
    </w:div>
    <w:div w:id="931013601">
      <w:bodyDiv w:val="1"/>
      <w:marLeft w:val="0"/>
      <w:marRight w:val="0"/>
      <w:marTop w:val="0"/>
      <w:marBottom w:val="0"/>
      <w:divBdr>
        <w:top w:val="none" w:sz="0" w:space="0" w:color="auto"/>
        <w:left w:val="none" w:sz="0" w:space="0" w:color="auto"/>
        <w:bottom w:val="none" w:sz="0" w:space="0" w:color="auto"/>
        <w:right w:val="none" w:sz="0" w:space="0" w:color="auto"/>
      </w:divBdr>
    </w:div>
    <w:div w:id="1083794495">
      <w:bodyDiv w:val="1"/>
      <w:marLeft w:val="0"/>
      <w:marRight w:val="0"/>
      <w:marTop w:val="0"/>
      <w:marBottom w:val="0"/>
      <w:divBdr>
        <w:top w:val="none" w:sz="0" w:space="0" w:color="auto"/>
        <w:left w:val="none" w:sz="0" w:space="0" w:color="auto"/>
        <w:bottom w:val="none" w:sz="0" w:space="0" w:color="auto"/>
        <w:right w:val="none" w:sz="0" w:space="0" w:color="auto"/>
      </w:divBdr>
    </w:div>
    <w:div w:id="1187914214">
      <w:bodyDiv w:val="1"/>
      <w:marLeft w:val="0"/>
      <w:marRight w:val="0"/>
      <w:marTop w:val="0"/>
      <w:marBottom w:val="0"/>
      <w:divBdr>
        <w:top w:val="none" w:sz="0" w:space="0" w:color="auto"/>
        <w:left w:val="none" w:sz="0" w:space="0" w:color="auto"/>
        <w:bottom w:val="none" w:sz="0" w:space="0" w:color="auto"/>
        <w:right w:val="none" w:sz="0" w:space="0" w:color="auto"/>
      </w:divBdr>
    </w:div>
    <w:div w:id="1252591965">
      <w:bodyDiv w:val="1"/>
      <w:marLeft w:val="0"/>
      <w:marRight w:val="0"/>
      <w:marTop w:val="0"/>
      <w:marBottom w:val="0"/>
      <w:divBdr>
        <w:top w:val="none" w:sz="0" w:space="0" w:color="auto"/>
        <w:left w:val="none" w:sz="0" w:space="0" w:color="auto"/>
        <w:bottom w:val="none" w:sz="0" w:space="0" w:color="auto"/>
        <w:right w:val="none" w:sz="0" w:space="0" w:color="auto"/>
      </w:divBdr>
    </w:div>
    <w:div w:id="1351639434">
      <w:bodyDiv w:val="1"/>
      <w:marLeft w:val="0"/>
      <w:marRight w:val="0"/>
      <w:marTop w:val="0"/>
      <w:marBottom w:val="0"/>
      <w:divBdr>
        <w:top w:val="none" w:sz="0" w:space="0" w:color="auto"/>
        <w:left w:val="none" w:sz="0" w:space="0" w:color="auto"/>
        <w:bottom w:val="none" w:sz="0" w:space="0" w:color="auto"/>
        <w:right w:val="none" w:sz="0" w:space="0" w:color="auto"/>
      </w:divBdr>
    </w:div>
    <w:div w:id="1374185444">
      <w:bodyDiv w:val="1"/>
      <w:marLeft w:val="0"/>
      <w:marRight w:val="0"/>
      <w:marTop w:val="0"/>
      <w:marBottom w:val="0"/>
      <w:divBdr>
        <w:top w:val="none" w:sz="0" w:space="0" w:color="auto"/>
        <w:left w:val="none" w:sz="0" w:space="0" w:color="auto"/>
        <w:bottom w:val="none" w:sz="0" w:space="0" w:color="auto"/>
        <w:right w:val="none" w:sz="0" w:space="0" w:color="auto"/>
      </w:divBdr>
    </w:div>
    <w:div w:id="1456414251">
      <w:bodyDiv w:val="1"/>
      <w:marLeft w:val="0"/>
      <w:marRight w:val="0"/>
      <w:marTop w:val="0"/>
      <w:marBottom w:val="0"/>
      <w:divBdr>
        <w:top w:val="none" w:sz="0" w:space="0" w:color="auto"/>
        <w:left w:val="none" w:sz="0" w:space="0" w:color="auto"/>
        <w:bottom w:val="none" w:sz="0" w:space="0" w:color="auto"/>
        <w:right w:val="none" w:sz="0" w:space="0" w:color="auto"/>
      </w:divBdr>
    </w:div>
    <w:div w:id="1577938470">
      <w:bodyDiv w:val="1"/>
      <w:marLeft w:val="0"/>
      <w:marRight w:val="0"/>
      <w:marTop w:val="0"/>
      <w:marBottom w:val="0"/>
      <w:divBdr>
        <w:top w:val="none" w:sz="0" w:space="0" w:color="auto"/>
        <w:left w:val="none" w:sz="0" w:space="0" w:color="auto"/>
        <w:bottom w:val="none" w:sz="0" w:space="0" w:color="auto"/>
        <w:right w:val="none" w:sz="0" w:space="0" w:color="auto"/>
      </w:divBdr>
    </w:div>
    <w:div w:id="1616254981">
      <w:bodyDiv w:val="1"/>
      <w:marLeft w:val="0"/>
      <w:marRight w:val="0"/>
      <w:marTop w:val="0"/>
      <w:marBottom w:val="0"/>
      <w:divBdr>
        <w:top w:val="none" w:sz="0" w:space="0" w:color="auto"/>
        <w:left w:val="none" w:sz="0" w:space="0" w:color="auto"/>
        <w:bottom w:val="none" w:sz="0" w:space="0" w:color="auto"/>
        <w:right w:val="none" w:sz="0" w:space="0" w:color="auto"/>
      </w:divBdr>
    </w:div>
    <w:div w:id="1909799569">
      <w:bodyDiv w:val="1"/>
      <w:marLeft w:val="0"/>
      <w:marRight w:val="0"/>
      <w:marTop w:val="0"/>
      <w:marBottom w:val="0"/>
      <w:divBdr>
        <w:top w:val="none" w:sz="0" w:space="0" w:color="auto"/>
        <w:left w:val="none" w:sz="0" w:space="0" w:color="auto"/>
        <w:bottom w:val="none" w:sz="0" w:space="0" w:color="auto"/>
        <w:right w:val="none" w:sz="0" w:space="0" w:color="auto"/>
      </w:divBdr>
    </w:div>
    <w:div w:id="1932229456">
      <w:bodyDiv w:val="1"/>
      <w:marLeft w:val="0"/>
      <w:marRight w:val="0"/>
      <w:marTop w:val="0"/>
      <w:marBottom w:val="0"/>
      <w:divBdr>
        <w:top w:val="none" w:sz="0" w:space="0" w:color="auto"/>
        <w:left w:val="none" w:sz="0" w:space="0" w:color="auto"/>
        <w:bottom w:val="none" w:sz="0" w:space="0" w:color="auto"/>
        <w:right w:val="none" w:sz="0" w:space="0" w:color="auto"/>
      </w:divBdr>
    </w:div>
    <w:div w:id="2061512167">
      <w:bodyDiv w:val="1"/>
      <w:marLeft w:val="0"/>
      <w:marRight w:val="0"/>
      <w:marTop w:val="0"/>
      <w:marBottom w:val="0"/>
      <w:divBdr>
        <w:top w:val="none" w:sz="0" w:space="0" w:color="auto"/>
        <w:left w:val="none" w:sz="0" w:space="0" w:color="auto"/>
        <w:bottom w:val="none" w:sz="0" w:space="0" w:color="auto"/>
        <w:right w:val="none" w:sz="0" w:space="0" w:color="auto"/>
      </w:divBdr>
    </w:div>
    <w:div w:id="214565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apfre.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solunion.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va.munoz@solunion.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olunion.com" TargetMode="External"/><Relationship Id="rId4" Type="http://schemas.openxmlformats.org/officeDocument/2006/relationships/webSettings" Target="webSettings.xml"/><Relationship Id="rId9" Type="http://schemas.openxmlformats.org/officeDocument/2006/relationships/hyperlink" Target="http://www.allianz-trade.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809</Words>
  <Characters>4731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SH01 cartaC</vt:lpstr>
    </vt:vector>
  </TitlesOfParts>
  <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SH01 cartaC</dc:title>
  <dc:subject/>
  <dc:creator>Muñoz Navascues, Eva</dc:creator>
  <cp:keywords/>
  <dc:description/>
  <cp:lastModifiedBy>Muñoz Navascues, Eva</cp:lastModifiedBy>
  <cp:revision>2</cp:revision>
  <cp:lastPrinted>2022-12-01T07:37:00Z</cp:lastPrinted>
  <dcterms:created xsi:type="dcterms:W3CDTF">2022-12-01T09:00:00Z</dcterms:created>
  <dcterms:modified xsi:type="dcterms:W3CDTF">2022-12-01T09:00:00Z</dcterms:modified>
</cp:coreProperties>
</file>