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AB3BC" w14:textId="18C2DF5E" w:rsidR="000F0BF6" w:rsidRPr="000F0BF6" w:rsidRDefault="008F1E0D" w:rsidP="000F0BF6">
      <w:pPr>
        <w:widowControl w:val="0"/>
        <w:autoSpaceDE w:val="0"/>
        <w:autoSpaceDN w:val="0"/>
        <w:adjustRightInd w:val="0"/>
        <w:spacing w:after="0" w:line="240" w:lineRule="auto"/>
        <w:jc w:val="right"/>
        <w:rPr>
          <w:rFonts w:ascii="Arial" w:hAnsi="Arial" w:cs="Arial"/>
        </w:rPr>
      </w:pPr>
      <w:r>
        <w:rPr>
          <w:rFonts w:ascii="Arial" w:hAnsi="Arial" w:cs="Arial"/>
        </w:rPr>
        <w:t>Madrid</w:t>
      </w:r>
      <w:r w:rsidR="00E229BF">
        <w:rPr>
          <w:rFonts w:ascii="Arial" w:hAnsi="Arial" w:cs="Arial"/>
        </w:rPr>
        <w:t xml:space="preserve">, </w:t>
      </w:r>
      <w:r w:rsidR="00557535">
        <w:rPr>
          <w:rFonts w:ascii="Arial" w:hAnsi="Arial" w:cs="Arial"/>
        </w:rPr>
        <w:t>2</w:t>
      </w:r>
      <w:r w:rsidR="00903846">
        <w:rPr>
          <w:rFonts w:ascii="Arial" w:hAnsi="Arial" w:cs="Arial"/>
        </w:rPr>
        <w:t>4</w:t>
      </w:r>
      <w:bookmarkStart w:id="0" w:name="_GoBack"/>
      <w:bookmarkEnd w:id="0"/>
      <w:r w:rsidR="00E229BF">
        <w:rPr>
          <w:rFonts w:ascii="Arial" w:hAnsi="Arial" w:cs="Arial"/>
        </w:rPr>
        <w:t xml:space="preserve"> de </w:t>
      </w:r>
      <w:r w:rsidR="009B6ADC">
        <w:rPr>
          <w:rFonts w:ascii="Arial" w:hAnsi="Arial" w:cs="Arial"/>
        </w:rPr>
        <w:t>noviembre</w:t>
      </w:r>
      <w:r w:rsidR="00230ADC">
        <w:rPr>
          <w:rFonts w:ascii="Arial" w:hAnsi="Arial" w:cs="Arial"/>
        </w:rPr>
        <w:t xml:space="preserve"> de 2022</w:t>
      </w:r>
    </w:p>
    <w:p w14:paraId="605DE238" w14:textId="77777777" w:rsidR="002900FB" w:rsidRDefault="002900FB">
      <w:pPr>
        <w:widowControl w:val="0"/>
        <w:autoSpaceDE w:val="0"/>
        <w:autoSpaceDN w:val="0"/>
        <w:adjustRightInd w:val="0"/>
        <w:spacing w:after="0" w:line="240" w:lineRule="auto"/>
      </w:pPr>
    </w:p>
    <w:p w14:paraId="5B26D00E" w14:textId="77777777" w:rsidR="00795275" w:rsidRDefault="00795275" w:rsidP="0068153F">
      <w:pPr>
        <w:widowControl w:val="0"/>
        <w:autoSpaceDE w:val="0"/>
        <w:autoSpaceDN w:val="0"/>
        <w:adjustRightInd w:val="0"/>
        <w:spacing w:after="0" w:line="240" w:lineRule="auto"/>
        <w:jc w:val="center"/>
        <w:rPr>
          <w:rFonts w:ascii="Arial" w:hAnsi="Arial" w:cs="Arial"/>
          <w:b/>
          <w:sz w:val="28"/>
          <w:szCs w:val="28"/>
        </w:rPr>
      </w:pPr>
    </w:p>
    <w:p w14:paraId="0CBC5A22" w14:textId="4F77A492" w:rsidR="00AC719A" w:rsidRPr="0068153F" w:rsidRDefault="000200A3" w:rsidP="00DC30A0">
      <w:pPr>
        <w:widowControl w:val="0"/>
        <w:autoSpaceDE w:val="0"/>
        <w:autoSpaceDN w:val="0"/>
        <w:adjustRightInd w:val="0"/>
        <w:spacing w:after="0" w:line="240" w:lineRule="auto"/>
        <w:ind w:left="-567"/>
        <w:jc w:val="center"/>
        <w:rPr>
          <w:rFonts w:ascii="Arial" w:hAnsi="Arial" w:cs="Arial"/>
          <w:b/>
          <w:sz w:val="28"/>
          <w:szCs w:val="28"/>
        </w:rPr>
      </w:pPr>
      <w:r>
        <w:rPr>
          <w:rFonts w:ascii="Arial" w:hAnsi="Arial" w:cs="Arial"/>
          <w:b/>
          <w:sz w:val="28"/>
          <w:szCs w:val="28"/>
        </w:rPr>
        <w:t xml:space="preserve">Solunion </w:t>
      </w:r>
      <w:r w:rsidR="000F23FE">
        <w:rPr>
          <w:rFonts w:ascii="Arial" w:hAnsi="Arial" w:cs="Arial"/>
          <w:b/>
          <w:sz w:val="28"/>
          <w:szCs w:val="28"/>
        </w:rPr>
        <w:t xml:space="preserve">inaugura su </w:t>
      </w:r>
      <w:r w:rsidR="00A97FC3">
        <w:rPr>
          <w:rFonts w:ascii="Arial" w:hAnsi="Arial" w:cs="Arial"/>
          <w:b/>
          <w:sz w:val="28"/>
          <w:szCs w:val="28"/>
        </w:rPr>
        <w:t xml:space="preserve">nueva </w:t>
      </w:r>
      <w:r w:rsidR="000F23FE">
        <w:rPr>
          <w:rFonts w:ascii="Arial" w:hAnsi="Arial" w:cs="Arial"/>
          <w:b/>
          <w:sz w:val="28"/>
          <w:szCs w:val="28"/>
        </w:rPr>
        <w:t xml:space="preserve">oficina en </w:t>
      </w:r>
      <w:r w:rsidR="009B6ADC">
        <w:rPr>
          <w:rFonts w:ascii="Arial" w:hAnsi="Arial" w:cs="Arial"/>
          <w:b/>
          <w:sz w:val="28"/>
          <w:szCs w:val="28"/>
        </w:rPr>
        <w:t>Bilbao</w:t>
      </w:r>
    </w:p>
    <w:p w14:paraId="733CD1CA" w14:textId="77777777" w:rsidR="00DD7A96" w:rsidRDefault="00DD7A96" w:rsidP="00B97AD2">
      <w:pPr>
        <w:widowControl w:val="0"/>
        <w:autoSpaceDE w:val="0"/>
        <w:autoSpaceDN w:val="0"/>
        <w:adjustRightInd w:val="0"/>
        <w:spacing w:after="0" w:line="240" w:lineRule="auto"/>
        <w:jc w:val="both"/>
        <w:rPr>
          <w:rFonts w:ascii="Arial" w:hAnsi="Arial" w:cs="Arial"/>
        </w:rPr>
      </w:pPr>
    </w:p>
    <w:p w14:paraId="1E535A66" w14:textId="4594D57E" w:rsidR="009B6ADC" w:rsidRDefault="00CB68A8" w:rsidP="009D0C0A">
      <w:pPr>
        <w:widowControl w:val="0"/>
        <w:autoSpaceDE w:val="0"/>
        <w:autoSpaceDN w:val="0"/>
        <w:adjustRightInd w:val="0"/>
        <w:spacing w:after="0" w:line="240" w:lineRule="auto"/>
        <w:ind w:left="-567"/>
        <w:jc w:val="both"/>
        <w:rPr>
          <w:rFonts w:ascii="Arial" w:hAnsi="Arial" w:cs="Arial"/>
        </w:rPr>
      </w:pPr>
      <w:hyperlink r:id="rId7" w:history="1">
        <w:r w:rsidR="0068153F" w:rsidRPr="009D0C0A">
          <w:rPr>
            <w:rStyle w:val="Hipervnculo"/>
            <w:rFonts w:ascii="Arial" w:hAnsi="Arial" w:cs="Arial"/>
          </w:rPr>
          <w:t>Solunion</w:t>
        </w:r>
      </w:hyperlink>
      <w:r w:rsidR="0068153F" w:rsidRPr="009D0C0A">
        <w:rPr>
          <w:rFonts w:ascii="Arial" w:hAnsi="Arial" w:cs="Arial"/>
        </w:rPr>
        <w:t xml:space="preserve">, </w:t>
      </w:r>
      <w:r w:rsidR="00A96FC5" w:rsidRPr="009D0C0A">
        <w:rPr>
          <w:rFonts w:ascii="Arial" w:hAnsi="Arial" w:cs="Arial"/>
        </w:rPr>
        <w:t xml:space="preserve">la compañía de seguros de </w:t>
      </w:r>
      <w:r w:rsidR="00E504C3" w:rsidRPr="009D0C0A">
        <w:rPr>
          <w:rFonts w:ascii="Arial" w:hAnsi="Arial" w:cs="Arial"/>
        </w:rPr>
        <w:t>C</w:t>
      </w:r>
      <w:r w:rsidR="00A96FC5" w:rsidRPr="009D0C0A">
        <w:rPr>
          <w:rFonts w:ascii="Arial" w:hAnsi="Arial" w:cs="Arial"/>
        </w:rPr>
        <w:t xml:space="preserve">rédito, de </w:t>
      </w:r>
      <w:r w:rsidR="00E504C3" w:rsidRPr="009D0C0A">
        <w:rPr>
          <w:rFonts w:ascii="Arial" w:hAnsi="Arial" w:cs="Arial"/>
        </w:rPr>
        <w:t>C</w:t>
      </w:r>
      <w:r w:rsidR="00A96FC5" w:rsidRPr="009D0C0A">
        <w:rPr>
          <w:rFonts w:ascii="Arial" w:hAnsi="Arial" w:cs="Arial"/>
        </w:rPr>
        <w:t xml:space="preserve">aución y de servicios asociados a la gestión del </w:t>
      </w:r>
      <w:r w:rsidR="00FD2B93" w:rsidRPr="009D0C0A">
        <w:rPr>
          <w:rFonts w:ascii="Arial" w:hAnsi="Arial" w:cs="Arial"/>
        </w:rPr>
        <w:t xml:space="preserve">riesgo </w:t>
      </w:r>
      <w:r w:rsidR="00A96FC5" w:rsidRPr="009D0C0A">
        <w:rPr>
          <w:rFonts w:ascii="Arial" w:hAnsi="Arial" w:cs="Arial"/>
        </w:rPr>
        <w:t>comercial</w:t>
      </w:r>
      <w:r w:rsidR="004C0064" w:rsidRPr="009D0C0A">
        <w:rPr>
          <w:rFonts w:ascii="Arial" w:hAnsi="Arial" w:cs="Arial"/>
        </w:rPr>
        <w:t xml:space="preserve"> </w:t>
      </w:r>
      <w:r w:rsidR="00F47174">
        <w:rPr>
          <w:rFonts w:ascii="Arial" w:hAnsi="Arial" w:cs="Arial"/>
        </w:rPr>
        <w:t>presentó</w:t>
      </w:r>
      <w:r w:rsidR="00B1698A" w:rsidRPr="009D0C0A">
        <w:rPr>
          <w:rFonts w:ascii="Arial" w:hAnsi="Arial" w:cs="Arial"/>
        </w:rPr>
        <w:t xml:space="preserve"> su nueva oficina en </w:t>
      </w:r>
      <w:r w:rsidR="009B6ADC" w:rsidRPr="009D0C0A">
        <w:rPr>
          <w:rFonts w:ascii="Arial" w:hAnsi="Arial" w:cs="Arial"/>
        </w:rPr>
        <w:t>Bilbao</w:t>
      </w:r>
      <w:r w:rsidR="00F47174">
        <w:rPr>
          <w:rFonts w:ascii="Arial" w:hAnsi="Arial" w:cs="Arial"/>
        </w:rPr>
        <w:t xml:space="preserve"> en un evento celebrado el pasado jueves, 17 de noviembre. Desde la nueva ubicación,</w:t>
      </w:r>
      <w:r w:rsidR="00E17920">
        <w:rPr>
          <w:rFonts w:ascii="Arial" w:hAnsi="Arial" w:cs="Arial"/>
        </w:rPr>
        <w:t xml:space="preserve"> </w:t>
      </w:r>
      <w:r w:rsidR="009B6ADC" w:rsidRPr="009D0C0A">
        <w:rPr>
          <w:rFonts w:ascii="Arial" w:hAnsi="Arial" w:cs="Arial"/>
        </w:rPr>
        <w:t xml:space="preserve">en la Torre Iberdrola, </w:t>
      </w:r>
      <w:r w:rsidR="00F47174">
        <w:rPr>
          <w:rFonts w:ascii="Arial" w:hAnsi="Arial" w:cs="Arial"/>
        </w:rPr>
        <w:t>e</w:t>
      </w:r>
      <w:r w:rsidR="009B6ADC" w:rsidRPr="009D0C0A">
        <w:rPr>
          <w:rFonts w:ascii="Arial" w:hAnsi="Arial" w:cs="Arial"/>
        </w:rPr>
        <w:t xml:space="preserve">l equipo de expertos de la Zona Norte de Solunion España seguirá ofreciendo las mejores soluciones para la gestión del riesgo comercial a las empresas de la región. </w:t>
      </w:r>
    </w:p>
    <w:p w14:paraId="79CF1E2F" w14:textId="19C5E1FE" w:rsidR="00F47174" w:rsidRDefault="00F47174" w:rsidP="009D0C0A">
      <w:pPr>
        <w:widowControl w:val="0"/>
        <w:autoSpaceDE w:val="0"/>
        <w:autoSpaceDN w:val="0"/>
        <w:adjustRightInd w:val="0"/>
        <w:spacing w:after="0" w:line="240" w:lineRule="auto"/>
        <w:ind w:left="-567"/>
        <w:jc w:val="both"/>
        <w:rPr>
          <w:rFonts w:ascii="Arial" w:hAnsi="Arial" w:cs="Arial"/>
        </w:rPr>
      </w:pPr>
    </w:p>
    <w:p w14:paraId="3C3FE6CC" w14:textId="19F46388" w:rsidR="00F47174" w:rsidRDefault="00F47174" w:rsidP="00F47174">
      <w:pPr>
        <w:widowControl w:val="0"/>
        <w:autoSpaceDE w:val="0"/>
        <w:autoSpaceDN w:val="0"/>
        <w:adjustRightInd w:val="0"/>
        <w:spacing w:after="0" w:line="240" w:lineRule="auto"/>
        <w:ind w:left="-567"/>
        <w:jc w:val="both"/>
        <w:rPr>
          <w:rFonts w:ascii="Arial" w:hAnsi="Arial" w:cs="Arial"/>
        </w:rPr>
      </w:pPr>
      <w:r>
        <w:rPr>
          <w:rFonts w:ascii="Arial" w:hAnsi="Arial" w:cs="Arial"/>
        </w:rPr>
        <w:t>Guillermo Fernández Ochoa, Director de Zona Norte de Solunion España, dio la bienvenida a los asistentes explicando la ambición de crecimiento de Solunion en la región: “</w:t>
      </w:r>
      <w:r w:rsidRPr="0006490F">
        <w:rPr>
          <w:rFonts w:ascii="Arial" w:hAnsi="Arial" w:cs="Arial"/>
          <w:i/>
        </w:rPr>
        <w:t>A</w:t>
      </w:r>
      <w:r w:rsidRPr="009D0C0A">
        <w:rPr>
          <w:rFonts w:ascii="Arial" w:hAnsi="Arial" w:cs="Arial"/>
          <w:i/>
        </w:rPr>
        <w:t xml:space="preserve">spiramos a ser </w:t>
      </w:r>
      <w:r>
        <w:rPr>
          <w:rFonts w:ascii="Arial" w:hAnsi="Arial" w:cs="Arial"/>
          <w:i/>
        </w:rPr>
        <w:t>la</w:t>
      </w:r>
      <w:r w:rsidRPr="009D0C0A">
        <w:rPr>
          <w:rFonts w:ascii="Arial" w:hAnsi="Arial" w:cs="Arial"/>
          <w:i/>
        </w:rPr>
        <w:t xml:space="preserve"> primera opción</w:t>
      </w:r>
      <w:r>
        <w:rPr>
          <w:rFonts w:ascii="Arial" w:hAnsi="Arial" w:cs="Arial"/>
          <w:i/>
        </w:rPr>
        <w:t xml:space="preserve"> de las compañías en el norte de España. Entendemos la realidad de las empresas de la zona, empatizamos con ellas desde la cercanía, lo que nos permite ayudarlas y acompañarlas a gestionar su riesgo comercial de la manera más adecuada, de modo que puedan sacar el máximo rendimiento a sus negocios y crecer de una forma sostenible”. </w:t>
      </w:r>
    </w:p>
    <w:p w14:paraId="577B9CEC" w14:textId="77777777" w:rsidR="00F47174" w:rsidRPr="009D0C0A" w:rsidRDefault="00F47174" w:rsidP="009D0C0A">
      <w:pPr>
        <w:widowControl w:val="0"/>
        <w:autoSpaceDE w:val="0"/>
        <w:autoSpaceDN w:val="0"/>
        <w:adjustRightInd w:val="0"/>
        <w:spacing w:after="0" w:line="240" w:lineRule="auto"/>
        <w:ind w:left="-567"/>
        <w:jc w:val="both"/>
        <w:rPr>
          <w:rFonts w:ascii="Arial" w:hAnsi="Arial" w:cs="Arial"/>
        </w:rPr>
      </w:pPr>
    </w:p>
    <w:p w14:paraId="395EBBE2" w14:textId="77777777" w:rsidR="00EA0A74" w:rsidRDefault="00F47174" w:rsidP="00B1230D">
      <w:pPr>
        <w:widowControl w:val="0"/>
        <w:autoSpaceDE w:val="0"/>
        <w:autoSpaceDN w:val="0"/>
        <w:adjustRightInd w:val="0"/>
        <w:spacing w:after="0" w:line="240" w:lineRule="auto"/>
        <w:ind w:left="-567"/>
        <w:jc w:val="both"/>
        <w:rPr>
          <w:rFonts w:ascii="Arial" w:hAnsi="Arial" w:cs="Arial"/>
        </w:rPr>
      </w:pPr>
      <w:r>
        <w:rPr>
          <w:rFonts w:ascii="Arial" w:hAnsi="Arial" w:cs="Arial"/>
        </w:rPr>
        <w:t>A continuación</w:t>
      </w:r>
      <w:r w:rsidR="00B8550D">
        <w:rPr>
          <w:rFonts w:ascii="Arial" w:hAnsi="Arial" w:cs="Arial"/>
        </w:rPr>
        <w:t>,</w:t>
      </w:r>
      <w:r>
        <w:rPr>
          <w:rFonts w:ascii="Arial" w:hAnsi="Arial" w:cs="Arial"/>
        </w:rPr>
        <w:t xml:space="preserve"> Massimo Reale, Director General de Solunion España, y </w:t>
      </w:r>
      <w:r w:rsidR="00364A73" w:rsidRPr="009D0C0A">
        <w:rPr>
          <w:rFonts w:ascii="Arial" w:hAnsi="Arial" w:cs="Arial"/>
        </w:rPr>
        <w:t xml:space="preserve">José Luis Gómez, </w:t>
      </w:r>
      <w:r w:rsidR="004D3A0E" w:rsidRPr="009D0C0A">
        <w:rPr>
          <w:rFonts w:ascii="Arial" w:hAnsi="Arial" w:cs="Arial"/>
        </w:rPr>
        <w:t>D</w:t>
      </w:r>
      <w:r w:rsidR="00364A73" w:rsidRPr="009D0C0A">
        <w:rPr>
          <w:rFonts w:ascii="Arial" w:hAnsi="Arial" w:cs="Arial"/>
        </w:rPr>
        <w:t xml:space="preserve">irector </w:t>
      </w:r>
      <w:r w:rsidR="004D3A0E" w:rsidRPr="009D0C0A">
        <w:rPr>
          <w:rFonts w:ascii="Arial" w:hAnsi="Arial" w:cs="Arial"/>
        </w:rPr>
        <w:t>C</w:t>
      </w:r>
      <w:r w:rsidR="00364A73" w:rsidRPr="009D0C0A">
        <w:rPr>
          <w:rFonts w:ascii="Arial" w:hAnsi="Arial" w:cs="Arial"/>
        </w:rPr>
        <w:t xml:space="preserve">omercial y de </w:t>
      </w:r>
      <w:r w:rsidR="004D3A0E" w:rsidRPr="009D0C0A">
        <w:rPr>
          <w:rFonts w:ascii="Arial" w:hAnsi="Arial" w:cs="Arial"/>
        </w:rPr>
        <w:t>M</w:t>
      </w:r>
      <w:r w:rsidR="00364A73" w:rsidRPr="009D0C0A">
        <w:rPr>
          <w:rFonts w:ascii="Arial" w:hAnsi="Arial" w:cs="Arial"/>
        </w:rPr>
        <w:t xml:space="preserve">arketing de Solunion España, </w:t>
      </w:r>
      <w:r>
        <w:rPr>
          <w:rFonts w:ascii="Arial" w:hAnsi="Arial" w:cs="Arial"/>
        </w:rPr>
        <w:t>pusieron de relieve</w:t>
      </w:r>
      <w:r w:rsidR="00BE5890" w:rsidRPr="009D0C0A">
        <w:rPr>
          <w:rFonts w:ascii="Arial" w:hAnsi="Arial" w:cs="Arial"/>
        </w:rPr>
        <w:t xml:space="preserve"> algunas de las claves</w:t>
      </w:r>
      <w:r>
        <w:rPr>
          <w:rFonts w:ascii="Arial" w:hAnsi="Arial" w:cs="Arial"/>
        </w:rPr>
        <w:t xml:space="preserve"> de la estrategia de Solunion. Entre ellas, destaca la cercanía como “</w:t>
      </w:r>
      <w:r w:rsidRPr="009D0C0A">
        <w:rPr>
          <w:rFonts w:ascii="Arial" w:hAnsi="Arial" w:cs="Arial"/>
          <w:i/>
        </w:rPr>
        <w:t>pieza fundamental de nuestro modelo de servicio que nos impulsa a trabajar en equipo, no solo entre nosotros, sino también con nuestros mediadores y nuestros clientes</w:t>
      </w:r>
      <w:r w:rsidRPr="009D0C0A">
        <w:rPr>
          <w:rFonts w:ascii="Arial" w:hAnsi="Arial" w:cs="Arial"/>
        </w:rPr>
        <w:t xml:space="preserve"> </w:t>
      </w:r>
      <w:r w:rsidRPr="009D0C0A">
        <w:rPr>
          <w:rFonts w:ascii="Arial" w:hAnsi="Arial" w:cs="Arial"/>
          <w:i/>
        </w:rPr>
        <w:t>para ofrecer siempre las mejores soluciones de gestión del riesgo comercial</w:t>
      </w:r>
      <w:r w:rsidRPr="009D0C0A">
        <w:rPr>
          <w:rFonts w:ascii="Arial" w:hAnsi="Arial" w:cs="Arial"/>
        </w:rPr>
        <w:t>”</w:t>
      </w:r>
      <w:r>
        <w:rPr>
          <w:rFonts w:ascii="Arial" w:hAnsi="Arial" w:cs="Arial"/>
        </w:rPr>
        <w:t xml:space="preserve">, indicó Massimo Reale. </w:t>
      </w:r>
    </w:p>
    <w:p w14:paraId="6AC05D5A" w14:textId="77777777" w:rsidR="00EA0A74" w:rsidRDefault="00EA0A74" w:rsidP="00B1230D">
      <w:pPr>
        <w:widowControl w:val="0"/>
        <w:autoSpaceDE w:val="0"/>
        <w:autoSpaceDN w:val="0"/>
        <w:adjustRightInd w:val="0"/>
        <w:spacing w:after="0" w:line="240" w:lineRule="auto"/>
        <w:ind w:left="-567"/>
        <w:jc w:val="both"/>
        <w:rPr>
          <w:rFonts w:ascii="Arial" w:hAnsi="Arial" w:cs="Arial"/>
        </w:rPr>
      </w:pPr>
    </w:p>
    <w:p w14:paraId="4EDF2462" w14:textId="025AA6DF" w:rsidR="00F47174" w:rsidRDefault="00F47174" w:rsidP="00B1230D">
      <w:pPr>
        <w:widowControl w:val="0"/>
        <w:autoSpaceDE w:val="0"/>
        <w:autoSpaceDN w:val="0"/>
        <w:adjustRightInd w:val="0"/>
        <w:spacing w:after="0" w:line="240" w:lineRule="auto"/>
        <w:ind w:left="-567"/>
        <w:jc w:val="both"/>
        <w:rPr>
          <w:rFonts w:ascii="Arial" w:hAnsi="Arial" w:cs="Arial"/>
        </w:rPr>
      </w:pPr>
      <w:r>
        <w:rPr>
          <w:rFonts w:ascii="Arial" w:hAnsi="Arial" w:cs="Arial"/>
        </w:rPr>
        <w:t>Por su parte, José Luis Gómez habló del</w:t>
      </w:r>
      <w:r w:rsidR="00BE5890" w:rsidRPr="009D0C0A">
        <w:rPr>
          <w:rFonts w:ascii="Arial" w:hAnsi="Arial" w:cs="Arial"/>
        </w:rPr>
        <w:t xml:space="preserve"> nuevo posicionamiento comercial que la compañía presentó en</w:t>
      </w:r>
      <w:r>
        <w:rPr>
          <w:rFonts w:ascii="Arial" w:hAnsi="Arial" w:cs="Arial"/>
        </w:rPr>
        <w:t xml:space="preserve"> el mes de</w:t>
      </w:r>
      <w:r w:rsidR="00BE5890" w:rsidRPr="009D0C0A">
        <w:rPr>
          <w:rFonts w:ascii="Arial" w:hAnsi="Arial" w:cs="Arial"/>
        </w:rPr>
        <w:t xml:space="preserve"> septiembre</w:t>
      </w:r>
      <w:r>
        <w:rPr>
          <w:rFonts w:ascii="Arial" w:hAnsi="Arial" w:cs="Arial"/>
        </w:rPr>
        <w:t>:</w:t>
      </w:r>
      <w:r w:rsidR="00BE5890" w:rsidRPr="009D0C0A">
        <w:rPr>
          <w:rFonts w:ascii="Arial" w:hAnsi="Arial" w:cs="Arial"/>
        </w:rPr>
        <w:t xml:space="preserve"> “</w:t>
      </w:r>
      <w:r>
        <w:rPr>
          <w:rFonts w:ascii="Arial" w:hAnsi="Arial" w:cs="Arial"/>
          <w:i/>
        </w:rPr>
        <w:t>t</w:t>
      </w:r>
      <w:r w:rsidR="00BE5890" w:rsidRPr="009D0C0A">
        <w:rPr>
          <w:rFonts w:ascii="Arial" w:hAnsi="Arial" w:cs="Arial"/>
          <w:i/>
        </w:rPr>
        <w:t>rabajamos con adaptabilidad, transparencia y cercanía, poniendo nuestra experiencia al servicio de las empresas para</w:t>
      </w:r>
      <w:r w:rsidR="0006490F">
        <w:rPr>
          <w:rFonts w:ascii="Arial" w:hAnsi="Arial" w:cs="Arial"/>
          <w:i/>
        </w:rPr>
        <w:t xml:space="preserve"> acompañarlas en su crecimiento</w:t>
      </w:r>
      <w:r w:rsidR="00BE5890" w:rsidRPr="009D0C0A">
        <w:rPr>
          <w:rFonts w:ascii="Arial" w:hAnsi="Arial" w:cs="Arial"/>
        </w:rPr>
        <w:t>”, explicó.</w:t>
      </w:r>
      <w:r w:rsidR="009D0C0A">
        <w:rPr>
          <w:rFonts w:ascii="Arial" w:hAnsi="Arial" w:cs="Arial"/>
        </w:rPr>
        <w:t xml:space="preserve"> </w:t>
      </w:r>
      <w:r w:rsidR="00BE5890" w:rsidRPr="009D0C0A">
        <w:rPr>
          <w:rFonts w:ascii="Arial" w:hAnsi="Arial" w:cs="Arial"/>
        </w:rPr>
        <w:t>“</w:t>
      </w:r>
      <w:r w:rsidR="00BE5890" w:rsidRPr="009D0C0A">
        <w:rPr>
          <w:rFonts w:ascii="Arial" w:hAnsi="Arial" w:cs="Arial"/>
          <w:i/>
        </w:rPr>
        <w:t xml:space="preserve">Sabemos que algunas necesidades de nuestros clientes pueden ser puntuales y afectar a una fase muy concreta de su ciclo de ventas, por eso trabajamos de una forma muy cercana </w:t>
      </w:r>
      <w:r w:rsidR="009D0C0A">
        <w:rPr>
          <w:rFonts w:ascii="Arial" w:hAnsi="Arial" w:cs="Arial"/>
          <w:i/>
        </w:rPr>
        <w:t>con</w:t>
      </w:r>
      <w:r w:rsidR="00BE5890" w:rsidRPr="009D0C0A">
        <w:rPr>
          <w:rFonts w:ascii="Arial" w:hAnsi="Arial" w:cs="Arial"/>
          <w:i/>
        </w:rPr>
        <w:t xml:space="preserve"> ellos, para adaptarnos a la</w:t>
      </w:r>
      <w:r w:rsidR="008E4EAE">
        <w:rPr>
          <w:rFonts w:ascii="Arial" w:hAnsi="Arial" w:cs="Arial"/>
          <w:i/>
        </w:rPr>
        <w:t xml:space="preserve"> situación</w:t>
      </w:r>
      <w:r w:rsidR="00BE5890" w:rsidRPr="009D0C0A">
        <w:rPr>
          <w:rFonts w:ascii="Arial" w:hAnsi="Arial" w:cs="Arial"/>
          <w:i/>
        </w:rPr>
        <w:t xml:space="preserve"> rea</w:t>
      </w:r>
      <w:r w:rsidR="008E4EAE">
        <w:rPr>
          <w:rFonts w:ascii="Arial" w:hAnsi="Arial" w:cs="Arial"/>
          <w:i/>
        </w:rPr>
        <w:t>l</w:t>
      </w:r>
      <w:r w:rsidR="00BE5890" w:rsidRPr="009D0C0A">
        <w:rPr>
          <w:rFonts w:ascii="Arial" w:hAnsi="Arial" w:cs="Arial"/>
          <w:i/>
        </w:rPr>
        <w:t xml:space="preserve"> de cada empresa</w:t>
      </w:r>
      <w:r>
        <w:rPr>
          <w:rFonts w:ascii="Arial" w:hAnsi="Arial" w:cs="Arial"/>
        </w:rPr>
        <w:t>”.</w:t>
      </w:r>
    </w:p>
    <w:p w14:paraId="0F4D5FF8" w14:textId="77777777" w:rsidR="00F47174" w:rsidRDefault="00F47174" w:rsidP="00B1230D">
      <w:pPr>
        <w:widowControl w:val="0"/>
        <w:autoSpaceDE w:val="0"/>
        <w:autoSpaceDN w:val="0"/>
        <w:adjustRightInd w:val="0"/>
        <w:spacing w:after="0" w:line="240" w:lineRule="auto"/>
        <w:ind w:left="-567"/>
        <w:jc w:val="both"/>
        <w:rPr>
          <w:rFonts w:ascii="Arial" w:hAnsi="Arial" w:cs="Arial"/>
        </w:rPr>
      </w:pPr>
    </w:p>
    <w:p w14:paraId="63267947" w14:textId="0B513BF8" w:rsidR="001C696F" w:rsidRDefault="001C696F" w:rsidP="001C696F">
      <w:pPr>
        <w:widowControl w:val="0"/>
        <w:autoSpaceDE w:val="0"/>
        <w:autoSpaceDN w:val="0"/>
        <w:adjustRightInd w:val="0"/>
        <w:spacing w:after="0" w:line="240" w:lineRule="auto"/>
        <w:ind w:left="-567"/>
        <w:jc w:val="both"/>
        <w:rPr>
          <w:rFonts w:ascii="Arial" w:hAnsi="Arial" w:cs="Arial"/>
        </w:rPr>
      </w:pPr>
    </w:p>
    <w:p w14:paraId="46765B2E" w14:textId="77777777" w:rsidR="00F47174" w:rsidRDefault="00F47174" w:rsidP="001C696F">
      <w:pPr>
        <w:widowControl w:val="0"/>
        <w:autoSpaceDE w:val="0"/>
        <w:autoSpaceDN w:val="0"/>
        <w:adjustRightInd w:val="0"/>
        <w:spacing w:after="0" w:line="240" w:lineRule="auto"/>
        <w:ind w:left="-567"/>
        <w:jc w:val="both"/>
        <w:rPr>
          <w:rFonts w:ascii="Arial" w:hAnsi="Arial" w:cs="Arial"/>
        </w:rPr>
      </w:pPr>
    </w:p>
    <w:p w14:paraId="2775E656" w14:textId="77777777" w:rsidR="000A63FD" w:rsidRDefault="000A63FD" w:rsidP="000A63FD">
      <w:pPr>
        <w:spacing w:after="160" w:line="259" w:lineRule="auto"/>
        <w:ind w:left="-567"/>
        <w:rPr>
          <w:rFonts w:ascii="Arial" w:hAnsi="Arial" w:cs="Arial"/>
          <w:b/>
        </w:rPr>
      </w:pPr>
      <w:r w:rsidRPr="00333AE3">
        <w:rPr>
          <w:rFonts w:ascii="Arial" w:hAnsi="Arial" w:cs="Arial"/>
          <w:b/>
        </w:rPr>
        <w:t>Sobre Solunion:</w:t>
      </w:r>
    </w:p>
    <w:p w14:paraId="711229CF" w14:textId="77777777" w:rsidR="000A63FD" w:rsidRDefault="000A63FD" w:rsidP="000A63FD">
      <w:pPr>
        <w:ind w:left="-567" w:right="-285"/>
        <w:jc w:val="both"/>
        <w:rPr>
          <w:rFonts w:ascii="Arial" w:hAnsi="Arial" w:cs="Arial"/>
          <w:iCs/>
          <w:sz w:val="20"/>
          <w:szCs w:val="20"/>
          <w:lang w:val="es-ES_tradnl"/>
        </w:rPr>
      </w:pPr>
      <w:r>
        <w:rPr>
          <w:rFonts w:ascii="Arial" w:hAnsi="Arial" w:cs="Arial"/>
          <w:iCs/>
          <w:sz w:val="20"/>
          <w:szCs w:val="20"/>
          <w:lang w:val="es-ES_tradnl"/>
        </w:rPr>
        <w:t xml:space="preserve">Ofrecemos soluciones y servicios de seguro de Crédito y de Caución y servicios asociados a la gestión del riesgo comercial para compañías de España y Latinoamérica. Somos una </w:t>
      </w:r>
      <w:proofErr w:type="spellStart"/>
      <w:r>
        <w:rPr>
          <w:rFonts w:ascii="Arial" w:hAnsi="Arial" w:cs="Arial"/>
          <w:iCs/>
          <w:sz w:val="20"/>
          <w:szCs w:val="20"/>
          <w:lang w:val="es-ES_tradnl"/>
        </w:rPr>
        <w:t>joint</w:t>
      </w:r>
      <w:proofErr w:type="spellEnd"/>
      <w:r>
        <w:rPr>
          <w:rFonts w:ascii="Arial" w:hAnsi="Arial" w:cs="Arial"/>
          <w:iCs/>
          <w:sz w:val="20"/>
          <w:szCs w:val="20"/>
          <w:lang w:val="es-ES_tradnl"/>
        </w:rPr>
        <w:t xml:space="preserve"> </w:t>
      </w:r>
      <w:proofErr w:type="spellStart"/>
      <w:r>
        <w:rPr>
          <w:rFonts w:ascii="Arial" w:hAnsi="Arial" w:cs="Arial"/>
          <w:iCs/>
          <w:sz w:val="20"/>
          <w:szCs w:val="20"/>
          <w:lang w:val="es-ES_tradnl"/>
        </w:rPr>
        <w:t>venture</w:t>
      </w:r>
      <w:proofErr w:type="spellEnd"/>
      <w:r>
        <w:rPr>
          <w:rFonts w:ascii="Arial" w:hAnsi="Arial" w:cs="Arial"/>
          <w:iCs/>
          <w:sz w:val="20"/>
          <w:szCs w:val="20"/>
          <w:lang w:val="es-ES_tradnl"/>
        </w:rPr>
        <w:t xml:space="preserve"> constituida en 2013 y participada al 50/50 por dos grandes aseguradoras, </w:t>
      </w:r>
      <w:hyperlink r:id="rId8" w:history="1">
        <w:r w:rsidRPr="00030C4E">
          <w:rPr>
            <w:rStyle w:val="Hipervnculo"/>
            <w:rFonts w:ascii="Arial" w:hAnsi="Arial" w:cs="Arial"/>
            <w:iCs/>
            <w:sz w:val="20"/>
            <w:szCs w:val="20"/>
            <w:lang w:val="es-ES_tradnl"/>
          </w:rPr>
          <w:t>MAPFRE</w:t>
        </w:r>
      </w:hyperlink>
      <w:r>
        <w:rPr>
          <w:rFonts w:ascii="Arial" w:hAnsi="Arial" w:cs="Arial"/>
          <w:iCs/>
          <w:sz w:val="20"/>
          <w:szCs w:val="20"/>
          <w:lang w:val="es-ES_tradnl"/>
        </w:rPr>
        <w:t xml:space="preserve"> y </w:t>
      </w:r>
      <w:hyperlink r:id="rId9" w:history="1">
        <w:r w:rsidRPr="00030C4E">
          <w:rPr>
            <w:rStyle w:val="Hipervnculo"/>
            <w:rFonts w:ascii="Arial" w:hAnsi="Arial" w:cs="Arial"/>
            <w:iCs/>
            <w:sz w:val="20"/>
            <w:szCs w:val="20"/>
            <w:lang w:val="es-ES_tradnl"/>
          </w:rPr>
          <w:t>Allianz Trade</w:t>
        </w:r>
      </w:hyperlink>
      <w:r>
        <w:rPr>
          <w:rFonts w:ascii="Arial" w:hAnsi="Arial" w:cs="Arial"/>
          <w:iCs/>
          <w:sz w:val="20"/>
          <w:szCs w:val="20"/>
          <w:lang w:val="es-ES_tradnl"/>
        </w:rPr>
        <w:t xml:space="preserve">. Ponemos al servicio de nuestros clientes una red internacional de vigilancia de riesgos desde la que analizamos la estabilidad financiera de más de 50 millones de empresas. Con una extensa red de distribución, respondemos a las necesidades de compañías de todos los tamaños en un amplio rango de sectores industriales. </w:t>
      </w:r>
      <w:hyperlink r:id="rId10" w:history="1">
        <w:r>
          <w:rPr>
            <w:rStyle w:val="Hipervnculo"/>
            <w:rFonts w:ascii="Arial" w:hAnsi="Arial" w:cs="Arial"/>
            <w:iCs/>
            <w:sz w:val="20"/>
            <w:szCs w:val="20"/>
            <w:lang w:val="es-ES_tradnl"/>
          </w:rPr>
          <w:t>www.solunion.com</w:t>
        </w:r>
      </w:hyperlink>
      <w:r>
        <w:rPr>
          <w:rFonts w:ascii="Arial" w:hAnsi="Arial" w:cs="Arial"/>
          <w:iCs/>
          <w:sz w:val="20"/>
          <w:szCs w:val="20"/>
          <w:lang w:val="es-ES_tradnl"/>
        </w:rPr>
        <w:t xml:space="preserve">  </w:t>
      </w:r>
    </w:p>
    <w:p w14:paraId="145DDA72" w14:textId="77777777" w:rsidR="008F1E0D" w:rsidRDefault="002900FB" w:rsidP="008F1E0D">
      <w:pPr>
        <w:ind w:left="-567" w:right="-285"/>
        <w:jc w:val="both"/>
        <w:rPr>
          <w:rFonts w:ascii="Arial" w:hAnsi="Arial" w:cs="Arial"/>
          <w:b/>
          <w:sz w:val="20"/>
          <w:szCs w:val="20"/>
          <w:lang w:val="es-ES_tradnl"/>
        </w:rPr>
      </w:pPr>
      <w:r>
        <w:rPr>
          <w:rFonts w:ascii="Arial" w:hAnsi="Arial" w:cs="Arial"/>
          <w:b/>
          <w:sz w:val="20"/>
          <w:szCs w:val="20"/>
          <w:lang w:val="es-ES_tradnl"/>
        </w:rPr>
        <w:t xml:space="preserve">Contacto de prensa: </w:t>
      </w:r>
    </w:p>
    <w:p w14:paraId="0A577BE4" w14:textId="76116508" w:rsidR="002900FB" w:rsidRDefault="00A92DB3" w:rsidP="008F1E0D">
      <w:pPr>
        <w:ind w:left="-567" w:right="-285"/>
        <w:jc w:val="both"/>
        <w:rPr>
          <w:rFonts w:ascii="Arial" w:hAnsi="Arial" w:cs="Arial"/>
          <w:sz w:val="20"/>
          <w:szCs w:val="20"/>
          <w:lang w:val="es-ES_tradnl"/>
        </w:rPr>
      </w:pPr>
      <w:r>
        <w:rPr>
          <w:rFonts w:ascii="Arial" w:hAnsi="Arial" w:cs="Arial"/>
          <w:b/>
          <w:sz w:val="20"/>
          <w:szCs w:val="20"/>
          <w:lang w:val="es-ES_tradnl"/>
        </w:rPr>
        <w:t>Solunion</w:t>
      </w:r>
      <w:r w:rsidR="002900FB">
        <w:rPr>
          <w:rFonts w:ascii="Arial" w:hAnsi="Arial" w:cs="Arial"/>
          <w:b/>
          <w:sz w:val="20"/>
          <w:szCs w:val="20"/>
          <w:lang w:val="es-ES_tradnl"/>
        </w:rPr>
        <w:t xml:space="preserve"> – Departamento de Comunicación Corporativa</w:t>
      </w:r>
      <w:r w:rsidR="002900FB">
        <w:rPr>
          <w:rFonts w:ascii="Arial" w:hAnsi="Arial" w:cs="Arial"/>
          <w:b/>
          <w:sz w:val="20"/>
          <w:szCs w:val="20"/>
          <w:lang w:val="es-ES_tradnl"/>
        </w:rPr>
        <w:br/>
      </w:r>
      <w:r w:rsidR="002900FB">
        <w:rPr>
          <w:rFonts w:ascii="Arial" w:hAnsi="Arial" w:cs="Arial"/>
          <w:sz w:val="20"/>
          <w:szCs w:val="20"/>
          <w:lang w:val="es-ES_tradnl"/>
        </w:rPr>
        <w:t xml:space="preserve">Eva Muñoz </w:t>
      </w:r>
      <w:r w:rsidR="002900FB">
        <w:rPr>
          <w:rFonts w:ascii="Arial" w:hAnsi="Arial" w:cs="Arial"/>
          <w:sz w:val="20"/>
          <w:szCs w:val="20"/>
          <w:lang w:val="es-ES_tradnl"/>
        </w:rPr>
        <w:br/>
        <w:t>Tlf. +34 91 417 80 11</w:t>
      </w:r>
      <w:r w:rsidR="002900FB">
        <w:rPr>
          <w:rFonts w:ascii="Arial" w:hAnsi="Arial" w:cs="Arial"/>
          <w:sz w:val="20"/>
          <w:szCs w:val="20"/>
          <w:lang w:val="es-ES_tradnl"/>
        </w:rPr>
        <w:br/>
      </w:r>
      <w:hyperlink r:id="rId11" w:history="1">
        <w:r w:rsidR="002900FB" w:rsidRPr="00813B91">
          <w:rPr>
            <w:rStyle w:val="Hipervnculo"/>
            <w:rFonts w:ascii="Arial" w:hAnsi="Arial" w:cs="Arial"/>
            <w:sz w:val="20"/>
            <w:szCs w:val="20"/>
          </w:rPr>
          <w:t>eva.munoz@solunion.com</w:t>
        </w:r>
      </w:hyperlink>
      <w:r w:rsidR="002900FB">
        <w:rPr>
          <w:rFonts w:ascii="Arial" w:hAnsi="Arial" w:cs="Arial"/>
          <w:sz w:val="20"/>
          <w:szCs w:val="20"/>
        </w:rPr>
        <w:t xml:space="preserve"> </w:t>
      </w:r>
    </w:p>
    <w:p w14:paraId="5938970B" w14:textId="1B0B1A16" w:rsidR="002900FB" w:rsidRDefault="002900FB" w:rsidP="002900FB">
      <w:pPr>
        <w:ind w:left="-567" w:right="-568"/>
        <w:rPr>
          <w:rFonts w:ascii="Arial" w:hAnsi="Arial" w:cs="Arial"/>
        </w:rPr>
      </w:pPr>
      <w:r>
        <w:rPr>
          <w:rFonts w:ascii="Arial" w:hAnsi="Arial" w:cs="Arial"/>
          <w:sz w:val="20"/>
          <w:szCs w:val="20"/>
          <w:lang w:val="es-ES_tradnl"/>
        </w:rPr>
        <w:t xml:space="preserve">Avda. General Perón, 40 – 2ª planta </w:t>
      </w:r>
      <w:r>
        <w:rPr>
          <w:rFonts w:ascii="Arial" w:hAnsi="Arial" w:cs="Arial"/>
          <w:sz w:val="20"/>
          <w:szCs w:val="20"/>
          <w:lang w:val="es-ES_tradnl"/>
        </w:rPr>
        <w:br/>
      </w:r>
      <w:r>
        <w:rPr>
          <w:rFonts w:ascii="Arial" w:hAnsi="Arial" w:cs="Arial"/>
          <w:iCs/>
          <w:sz w:val="20"/>
          <w:lang w:val="es-ES_tradnl"/>
        </w:rPr>
        <w:t>28020 Madrid</w:t>
      </w:r>
      <w:r>
        <w:rPr>
          <w:rFonts w:ascii="Arial" w:hAnsi="Arial" w:cs="Arial"/>
        </w:rPr>
        <w:tab/>
      </w:r>
    </w:p>
    <w:p w14:paraId="13F46D6D" w14:textId="77777777" w:rsidR="009E1A49" w:rsidRDefault="009E1A49" w:rsidP="009E1A49">
      <w:pPr>
        <w:ind w:right="-568"/>
        <w:rPr>
          <w:rFonts w:ascii="Arial" w:hAnsi="Arial" w:cs="Arial"/>
        </w:rPr>
      </w:pPr>
    </w:p>
    <w:p w14:paraId="0EB7A890" w14:textId="214E5563" w:rsidR="002900FB" w:rsidRDefault="002900FB" w:rsidP="008F1E0D">
      <w:pPr>
        <w:spacing w:after="160" w:line="259" w:lineRule="auto"/>
        <w:rPr>
          <w:rFonts w:ascii="Arial" w:hAnsi="Arial" w:cs="Arial"/>
          <w:sz w:val="14"/>
          <w:szCs w:val="14"/>
          <w:lang w:val="es-ES_tradnl"/>
        </w:rPr>
      </w:pPr>
      <w:r>
        <w:rPr>
          <w:rFonts w:ascii="Arial" w:hAnsi="Arial" w:cs="Arial"/>
          <w:b/>
          <w:sz w:val="14"/>
          <w:szCs w:val="14"/>
          <w:lang w:val="es-ES_tradnl"/>
        </w:rPr>
        <w:lastRenderedPageBreak/>
        <w:t>Advertencia</w:t>
      </w:r>
      <w:r>
        <w:rPr>
          <w:rFonts w:ascii="Arial" w:hAnsi="Arial" w:cs="Arial"/>
          <w:sz w:val="14"/>
          <w:szCs w:val="14"/>
          <w:lang w:val="es-ES_tradnl"/>
        </w:rPr>
        <w:t xml:space="preserve">: </w:t>
      </w:r>
    </w:p>
    <w:p w14:paraId="36CA4B38" w14:textId="77777777" w:rsidR="002900FB" w:rsidRDefault="002900FB" w:rsidP="002900FB">
      <w:pPr>
        <w:ind w:left="-567" w:right="-568"/>
        <w:jc w:val="both"/>
        <w:rPr>
          <w:rFonts w:ascii="Arial" w:hAnsi="Arial" w:cs="Arial"/>
          <w:sz w:val="14"/>
          <w:szCs w:val="14"/>
          <w:lang w:val="es-ES_tradnl"/>
        </w:rPr>
      </w:pPr>
      <w:r>
        <w:rPr>
          <w:rFonts w:ascii="Arial" w:hAnsi="Arial" w:cs="Arial"/>
          <w:sz w:val="14"/>
          <w:szCs w:val="14"/>
          <w:lang w:val="es-ES_tradnl"/>
        </w:rPr>
        <w:t xml:space="preserve">Algunas de las afirmaciones contenidas en el presente documento pueden tener la naturaleza de meras expectativas o previsiones basadas en opiniones o puntos de vista actuales de la Dirección de la Compañía. Estas afirmaciones implican una serie de riesgos e incertidumbres, tanto conocidos como desconocidos, que podrían provocar diferencias importantes entre los resultados, actuaciones o acontecimientos reales y aquellos a los que explícita o implícitamente este documento se refiere. El carácter meramente provisional de las afirmaciones que aquí se contienen puede derivarse tanto de la propia naturaleza de la información como del contexto en el que se realizan.  En este sentido, las construcciones del tipo “puede”, “podrá”, “debería”, “se espera”, “pretende”, “anticipa”, “se cree”, “se estima”, “se prevé”, “potencial” o “continúa” y otras similares, constituyen la expresión de </w:t>
      </w:r>
      <w:proofErr w:type="gramStart"/>
      <w:r>
        <w:rPr>
          <w:rFonts w:ascii="Arial" w:hAnsi="Arial" w:cs="Arial"/>
          <w:sz w:val="14"/>
          <w:szCs w:val="14"/>
          <w:lang w:val="es-ES_tradnl"/>
        </w:rPr>
        <w:t>expectativas futuras</w:t>
      </w:r>
      <w:proofErr w:type="gramEnd"/>
      <w:r>
        <w:rPr>
          <w:rFonts w:ascii="Arial" w:hAnsi="Arial" w:cs="Arial"/>
          <w:sz w:val="14"/>
          <w:szCs w:val="14"/>
          <w:lang w:val="es-ES_tradnl"/>
        </w:rPr>
        <w:t xml:space="preserve"> o de meras previsiones.</w:t>
      </w:r>
    </w:p>
    <w:p w14:paraId="09B471F2" w14:textId="77777777" w:rsidR="002900FB" w:rsidRDefault="002900FB" w:rsidP="002900FB">
      <w:pPr>
        <w:autoSpaceDE w:val="0"/>
        <w:autoSpaceDN w:val="0"/>
        <w:adjustRightInd w:val="0"/>
        <w:ind w:left="-567" w:right="-568"/>
        <w:jc w:val="both"/>
        <w:rPr>
          <w:rFonts w:ascii="Arial" w:hAnsi="Arial" w:cs="Arial"/>
          <w:sz w:val="14"/>
          <w:szCs w:val="14"/>
          <w:lang w:val="es-ES_tradnl"/>
        </w:rPr>
      </w:pPr>
      <w:r>
        <w:rPr>
          <w:rFonts w:ascii="Arial" w:hAnsi="Arial" w:cs="Arial"/>
          <w:sz w:val="14"/>
          <w:szCs w:val="14"/>
          <w:lang w:val="es-ES_tradnl"/>
        </w:rPr>
        <w:t>Los resultados, actuaciones o acontecimientos reales pueden diferir materialmente de aquellos reflejados en este documento, debido, entre otras causas a (i) la coyuntura económica general; (</w:t>
      </w:r>
      <w:proofErr w:type="spellStart"/>
      <w:r>
        <w:rPr>
          <w:rFonts w:ascii="Arial" w:hAnsi="Arial" w:cs="Arial"/>
          <w:sz w:val="14"/>
          <w:szCs w:val="14"/>
          <w:lang w:val="es-ES_tradnl"/>
        </w:rPr>
        <w:t>ii</w:t>
      </w:r>
      <w:proofErr w:type="spellEnd"/>
      <w:r>
        <w:rPr>
          <w:rFonts w:ascii="Arial" w:hAnsi="Arial" w:cs="Arial"/>
          <w:sz w:val="14"/>
          <w:szCs w:val="14"/>
          <w:lang w:val="es-ES_tradnl"/>
        </w:rPr>
        <w:t>) el desarrollo de los mercados financieros y, en especial, de los mercados emergentes, de su volatilidad, de su liquidez y de crisis de crédito; (</w:t>
      </w:r>
      <w:proofErr w:type="spellStart"/>
      <w:r>
        <w:rPr>
          <w:rFonts w:ascii="Arial" w:hAnsi="Arial" w:cs="Arial"/>
          <w:sz w:val="14"/>
          <w:szCs w:val="14"/>
          <w:lang w:val="es-ES_tradnl"/>
        </w:rPr>
        <w:t>iii</w:t>
      </w:r>
      <w:proofErr w:type="spellEnd"/>
      <w:r>
        <w:rPr>
          <w:rFonts w:ascii="Arial" w:hAnsi="Arial" w:cs="Arial"/>
          <w:sz w:val="14"/>
          <w:szCs w:val="14"/>
          <w:lang w:val="es-ES_tradnl"/>
        </w:rPr>
        <w:t>) la frecuencia e intensidad de los siniestros asegurados; (</w:t>
      </w:r>
      <w:proofErr w:type="spellStart"/>
      <w:r>
        <w:rPr>
          <w:rFonts w:ascii="Arial" w:hAnsi="Arial" w:cs="Arial"/>
          <w:sz w:val="14"/>
          <w:szCs w:val="14"/>
          <w:lang w:val="es-ES_tradnl"/>
        </w:rPr>
        <w:t>iv</w:t>
      </w:r>
      <w:proofErr w:type="spellEnd"/>
      <w:r>
        <w:rPr>
          <w:rFonts w:ascii="Arial" w:hAnsi="Arial" w:cs="Arial"/>
          <w:sz w:val="14"/>
          <w:szCs w:val="14"/>
          <w:lang w:val="es-ES_tradnl"/>
        </w:rPr>
        <w:t>) la tasa de conservación de negocio; (v) niveles de morosidad; (vi) la evolución de los tipos de interés; (</w:t>
      </w:r>
      <w:proofErr w:type="spellStart"/>
      <w:r>
        <w:rPr>
          <w:rFonts w:ascii="Arial" w:hAnsi="Arial" w:cs="Arial"/>
          <w:sz w:val="14"/>
          <w:szCs w:val="14"/>
          <w:lang w:val="es-ES_tradnl"/>
        </w:rPr>
        <w:t>vii</w:t>
      </w:r>
      <w:proofErr w:type="spellEnd"/>
      <w:r>
        <w:rPr>
          <w:rFonts w:ascii="Arial" w:hAnsi="Arial" w:cs="Arial"/>
          <w:sz w:val="14"/>
          <w:szCs w:val="14"/>
          <w:lang w:val="es-ES_tradnl"/>
        </w:rPr>
        <w:t>) los tipos de cambio, en especial el tipo de cambio Euro-Dólar; (</w:t>
      </w:r>
      <w:proofErr w:type="spellStart"/>
      <w:r>
        <w:rPr>
          <w:rFonts w:ascii="Arial" w:hAnsi="Arial" w:cs="Arial"/>
          <w:sz w:val="14"/>
          <w:szCs w:val="14"/>
          <w:lang w:val="es-ES_tradnl"/>
        </w:rPr>
        <w:t>viii</w:t>
      </w:r>
      <w:proofErr w:type="spellEnd"/>
      <w:r>
        <w:rPr>
          <w:rFonts w:ascii="Arial" w:hAnsi="Arial" w:cs="Arial"/>
          <w:sz w:val="14"/>
          <w:szCs w:val="14"/>
          <w:lang w:val="es-ES_tradnl"/>
        </w:rPr>
        <w:t>) la competencia; (</w:t>
      </w:r>
      <w:proofErr w:type="spellStart"/>
      <w:r>
        <w:rPr>
          <w:rFonts w:ascii="Arial" w:hAnsi="Arial" w:cs="Arial"/>
          <w:sz w:val="14"/>
          <w:szCs w:val="14"/>
          <w:lang w:val="es-ES_tradnl"/>
        </w:rPr>
        <w:t>ix</w:t>
      </w:r>
      <w:proofErr w:type="spellEnd"/>
      <w:r>
        <w:rPr>
          <w:rFonts w:ascii="Arial" w:hAnsi="Arial" w:cs="Arial"/>
          <w:sz w:val="14"/>
          <w:szCs w:val="14"/>
          <w:lang w:val="es-ES_tradnl"/>
        </w:rPr>
        <w:t>) los cambios legislativos y regulatorios, incluyendo los referentes a la convergencia monetaria y la Unión Monetaria Europea; (x) los cambios en la política de los bancos centrales y/o de los gobiernos extranjeros; (xi) el impacto de adquisiciones, incluyendo las integraciones; (</w:t>
      </w:r>
      <w:proofErr w:type="spellStart"/>
      <w:r>
        <w:rPr>
          <w:rFonts w:ascii="Arial" w:hAnsi="Arial" w:cs="Arial"/>
          <w:sz w:val="14"/>
          <w:szCs w:val="14"/>
          <w:lang w:val="es-ES_tradnl"/>
        </w:rPr>
        <w:t>xii</w:t>
      </w:r>
      <w:proofErr w:type="spellEnd"/>
      <w:r>
        <w:rPr>
          <w:rFonts w:ascii="Arial" w:hAnsi="Arial" w:cs="Arial"/>
          <w:sz w:val="14"/>
          <w:szCs w:val="14"/>
          <w:lang w:val="es-ES_tradnl"/>
        </w:rPr>
        <w:t>) las operaciones de reorganización y (</w:t>
      </w:r>
      <w:proofErr w:type="spellStart"/>
      <w:r>
        <w:rPr>
          <w:rFonts w:ascii="Arial" w:hAnsi="Arial" w:cs="Arial"/>
          <w:sz w:val="14"/>
          <w:szCs w:val="14"/>
          <w:lang w:val="es-ES_tradnl"/>
        </w:rPr>
        <w:t>xiii</w:t>
      </w:r>
      <w:proofErr w:type="spellEnd"/>
      <w:r>
        <w:rPr>
          <w:rFonts w:ascii="Arial" w:hAnsi="Arial" w:cs="Arial"/>
          <w:sz w:val="14"/>
          <w:szCs w:val="14"/>
          <w:lang w:val="es-ES_tradnl"/>
        </w:rPr>
        <w:t xml:space="preserve">) los factores generales que incidan sobre la competencia, ya sean a nivel local, regional, nacional y/o global. Muchos de estos factores tienen mayor probabilidad de ocurrir o pueden ser de carácter más pronunciado, en caso de actos terroristas. </w:t>
      </w:r>
    </w:p>
    <w:p w14:paraId="6A841925" w14:textId="77777777" w:rsidR="0049077A" w:rsidRDefault="002900FB" w:rsidP="006F6BF2">
      <w:pPr>
        <w:autoSpaceDE w:val="0"/>
        <w:autoSpaceDN w:val="0"/>
        <w:adjustRightInd w:val="0"/>
        <w:ind w:left="-567" w:right="-568"/>
        <w:jc w:val="both"/>
      </w:pPr>
      <w:r>
        <w:rPr>
          <w:rFonts w:ascii="Arial" w:hAnsi="Arial" w:cs="Arial"/>
          <w:sz w:val="14"/>
          <w:szCs w:val="14"/>
          <w:lang w:val="es-ES_tradnl"/>
        </w:rPr>
        <w:t>La compañía no está obligada a actualizar las previsiones contenidas en el presente documento.</w:t>
      </w:r>
    </w:p>
    <w:sectPr w:rsidR="0049077A" w:rsidSect="00964C4A">
      <w:headerReference w:type="default" r:id="rId12"/>
      <w:headerReference w:type="first" r:id="rId13"/>
      <w:type w:val="continuous"/>
      <w:pgSz w:w="11920" w:h="16840"/>
      <w:pgMar w:top="2529" w:right="1288" w:bottom="567" w:left="1678"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C9CB2" w14:textId="77777777" w:rsidR="00CB68A8" w:rsidRDefault="00CB68A8" w:rsidP="0049077A">
      <w:pPr>
        <w:spacing w:after="0" w:line="240" w:lineRule="auto"/>
      </w:pPr>
      <w:r>
        <w:separator/>
      </w:r>
    </w:p>
  </w:endnote>
  <w:endnote w:type="continuationSeparator" w:id="0">
    <w:p w14:paraId="2EF5C197" w14:textId="77777777" w:rsidR="00CB68A8" w:rsidRDefault="00CB68A8" w:rsidP="00490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buntu">
    <w:panose1 w:val="020B05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panose1 w:val="020B0503030403020204"/>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729B5" w14:textId="77777777" w:rsidR="00CB68A8" w:rsidRDefault="00CB68A8" w:rsidP="0049077A">
      <w:pPr>
        <w:spacing w:after="0" w:line="240" w:lineRule="auto"/>
      </w:pPr>
      <w:r>
        <w:separator/>
      </w:r>
    </w:p>
  </w:footnote>
  <w:footnote w:type="continuationSeparator" w:id="0">
    <w:p w14:paraId="42494F80" w14:textId="77777777" w:rsidR="00CB68A8" w:rsidRDefault="00CB68A8" w:rsidP="00490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F2CFC" w14:textId="77777777" w:rsidR="0049077A" w:rsidRDefault="0068153F">
    <w:pPr>
      <w:pStyle w:val="Encabezado"/>
    </w:pPr>
    <w:r>
      <w:rPr>
        <w:noProof/>
      </w:rPr>
      <w:drawing>
        <wp:anchor distT="0" distB="0" distL="114300" distR="114300" simplePos="0" relativeHeight="251661312" behindDoc="1" locked="0" layoutInCell="1" allowOverlap="1" wp14:anchorId="6B2DE71F" wp14:editId="5B088CF1">
          <wp:simplePos x="0" y="0"/>
          <wp:positionH relativeFrom="column">
            <wp:posOffset>3832225</wp:posOffset>
          </wp:positionH>
          <wp:positionV relativeFrom="paragraph">
            <wp:posOffset>249555</wp:posOffset>
          </wp:positionV>
          <wp:extent cx="2044700" cy="65151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4700" cy="6515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A0F00" w14:textId="77777777" w:rsidR="0049077A" w:rsidRDefault="0068153F">
    <w:pPr>
      <w:pStyle w:val="Encabezado"/>
    </w:pPr>
    <w:r>
      <w:rPr>
        <w:noProof/>
      </w:rPr>
      <mc:AlternateContent>
        <mc:Choice Requires="wps">
          <w:drawing>
            <wp:anchor distT="45720" distB="45720" distL="114300" distR="114300" simplePos="0" relativeHeight="251663360" behindDoc="0" locked="0" layoutInCell="1" allowOverlap="1" wp14:anchorId="7213DCFA" wp14:editId="7F116471">
              <wp:simplePos x="0" y="0"/>
              <wp:positionH relativeFrom="column">
                <wp:posOffset>-431800</wp:posOffset>
              </wp:positionH>
              <wp:positionV relativeFrom="paragraph">
                <wp:posOffset>421640</wp:posOffset>
              </wp:positionV>
              <wp:extent cx="2594610" cy="487045"/>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4610" cy="48704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80C8238" w14:textId="77777777" w:rsidR="0068153F" w:rsidRPr="0068153F" w:rsidRDefault="0068153F">
                          <w:pPr>
                            <w:rPr>
                              <w:rFonts w:ascii="Arial" w:hAnsi="Arial" w:cs="Arial"/>
                              <w:sz w:val="32"/>
                              <w:szCs w:val="32"/>
                            </w:rPr>
                          </w:pPr>
                          <w:r w:rsidRPr="0068153F">
                            <w:rPr>
                              <w:rFonts w:ascii="Arial" w:hAnsi="Arial" w:cs="Arial"/>
                              <w:sz w:val="32"/>
                              <w:szCs w:val="32"/>
                            </w:rPr>
                            <w:t>Nota de prensa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213DCFA" id="_x0000_t202" coordsize="21600,21600" o:spt="202" path="m,l,21600r21600,l21600,xe">
              <v:stroke joinstyle="miter"/>
              <v:path gradientshapeok="t" o:connecttype="rect"/>
            </v:shapetype>
            <v:shape id="Cuadro de texto 2" o:spid="_x0000_s1026" type="#_x0000_t202" style="position:absolute;margin-left:-34pt;margin-top:33.2pt;width:204.3pt;height:38.3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VutggIAABMFAAAOAAAAZHJzL2Uyb0RvYy54bWysVNuO0zAQfUfiHyy/d3NReknUdLVtCUJa&#10;LtLCB7ix01gknmC7TRbEvzN22m6Xi4QQeXA8nvGZ2xkvb4e2IUehjQSV0+gmpESoErhU+5x++lhM&#10;FpQYyxRnDSiR00dh6O3q5Ytl32UihhoaLjRBEGWyvstpbW2XBYEpa9EycwOdUKisQLfMoqj3Ades&#10;R/S2CeIwnAU9aN5pKIUxeLodlXTl8atKlPZ9VRlhSZNTjM36Vft159ZgtWTZXrOuluUpDPYPUbRM&#10;KnR6gdoyy8hBy1+gWllqMFDZmxLaAKpKlsLngNlE4U/ZPNSsEz4XLI7pLmUy/w+2fHf8oInkOY0p&#10;UazFFm0OjGsgXBArBgskdkXqO5Oh7UOH1nZYw4DN9gmb7h7Kz4Yo2NRM7cWd1tDXgnEMMnI3g6ur&#10;I45xILv+LXD0xg4WPNBQ6dZVEGtCEB2b9XhpEMZBSjyMp2kyi1BVoi5ZzMNk6l2w7Hy708a+FtAS&#10;t8mpRgJ4dHa8N9ZFw7KziXNmoJG8kE3jBb3fbRpNjgzJUvjvhP7MrFHOWIG7NiKOJxgk+nA6F65v&#10;/rc0ipNwHaeTYraYT5IimU7SebiYhFG6Tmdhkibb4rsLMEqyWnIu1L1U4kzEKPm7Rp9GYqSQpyLp&#10;Xe18Un/MMPTf7zJspcWhbGSb08XFiGWuq68Ux5xZZplsxn3wPHZfYizA+e9L4jng2j4SwA67AVEc&#10;MXbAH5ENGrBZ2Fd8SXBTg/5KSY9TmVPz5cC0oKR5o5BRaZQkboy9kEznMQr6WrO71jBVIlROLSXj&#10;dmPH0T90Wu5r9HTm8B2ysJCeIE9RnbiLk+eTOb0SbrSvZW/19JatfgAAAP//AwBQSwMEFAAGAAgA&#10;AAAhAFsr7OjgAAAACgEAAA8AAABkcnMvZG93bnJldi54bWxMj01Lw0AURfeC/2F4grt2UhuGEDMp&#10;IiiErkyruJxknknofMTMtIn+ep8rXT7e4d5zi91iDbvgFAbvJGzWCTB0rdeD6yQcD0+rDFiIymll&#10;vEMJXxhgV15fFSrXfnYveKljxyjEhVxJ6GMcc85D26NVYe1HdPT78JNVkc6p43pSM4Vbw++SRHCr&#10;BkcNvRrxscf2VJ+thMNrZZ5Py9t3FT/3VZ3NzTv2eylvb5aHe2ARl/gHw68+qUNJTo0/Ox2YkbAS&#10;GW2JEoRIgRGwTRMBrCEy3W6AlwX/P6H8AQAA//8DAFBLAQItABQABgAIAAAAIQC2gziS/gAAAOEB&#10;AAATAAAAAAAAAAAAAAAAAAAAAABbQ29udGVudF9UeXBlc10ueG1sUEsBAi0AFAAGAAgAAAAhADj9&#10;If/WAAAAlAEAAAsAAAAAAAAAAAAAAAAALwEAAF9yZWxzLy5yZWxzUEsBAi0AFAAGAAgAAAAhAPXF&#10;W62CAgAAEwUAAA4AAAAAAAAAAAAAAAAALgIAAGRycy9lMm9Eb2MueG1sUEsBAi0AFAAGAAgAAAAh&#10;AFsr7OjgAAAACgEAAA8AAAAAAAAAAAAAAAAA3AQAAGRycy9kb3ducmV2LnhtbFBLBQYAAAAABAAE&#10;APMAAADpBQAAAAA=&#10;" stroked="f" strokeweight="0">
              <v:textbox style="mso-fit-shape-to-text:t">
                <w:txbxContent>
                  <w:p w14:paraId="680C8238" w14:textId="77777777" w:rsidR="0068153F" w:rsidRPr="0068153F" w:rsidRDefault="0068153F">
                    <w:pPr>
                      <w:rPr>
                        <w:rFonts w:ascii="Arial" w:hAnsi="Arial" w:cs="Arial"/>
                        <w:sz w:val="32"/>
                        <w:szCs w:val="32"/>
                      </w:rPr>
                    </w:pPr>
                    <w:r w:rsidRPr="0068153F">
                      <w:rPr>
                        <w:rFonts w:ascii="Arial" w:hAnsi="Arial" w:cs="Arial"/>
                        <w:sz w:val="32"/>
                        <w:szCs w:val="32"/>
                      </w:rPr>
                      <w:t>Nota de prensa</w:t>
                    </w:r>
                  </w:p>
                </w:txbxContent>
              </v:textbox>
              <w10:wrap type="square"/>
            </v:shape>
          </w:pict>
        </mc:Fallback>
      </mc:AlternateContent>
    </w:r>
    <w:r>
      <w:rPr>
        <w:noProof/>
      </w:rPr>
      <w:drawing>
        <wp:anchor distT="0" distB="0" distL="114300" distR="114300" simplePos="0" relativeHeight="251660288" behindDoc="0" locked="0" layoutInCell="1" allowOverlap="1" wp14:anchorId="59474C8B" wp14:editId="1F505653">
          <wp:simplePos x="0" y="0"/>
          <wp:positionH relativeFrom="column">
            <wp:posOffset>3179445</wp:posOffset>
          </wp:positionH>
          <wp:positionV relativeFrom="paragraph">
            <wp:posOffset>-16510</wp:posOffset>
          </wp:positionV>
          <wp:extent cx="2637155" cy="845185"/>
          <wp:effectExtent l="0" t="0" r="0" b="0"/>
          <wp:wrapSquare wrapText="bothSides"/>
          <wp:docPr id="8" name="Imagen 1" descr="C:\Users\MARAFE1\Desktop\Logo_morado_fondo_bl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MARAFE1\Desktop\Logo_morado_fondo_blanco.jpg"/>
                  <pic:cNvPicPr>
                    <a:picLocks noChangeAspect="1" noChangeArrowheads="1"/>
                  </pic:cNvPicPr>
                </pic:nvPicPr>
                <pic:blipFill>
                  <a:blip r:embed="rId1">
                    <a:extLst>
                      <a:ext uri="{28A0092B-C50C-407E-A947-70E740481C1C}">
                        <a14:useLocalDpi xmlns:a14="http://schemas.microsoft.com/office/drawing/2010/main" val="0"/>
                      </a:ext>
                    </a:extLst>
                  </a:blip>
                  <a:srcRect l="24323" t="36354" r="24416" b="36696"/>
                  <a:stretch>
                    <a:fillRect/>
                  </a:stretch>
                </pic:blipFill>
                <pic:spPr bwMode="auto">
                  <a:xfrm>
                    <a:off x="0" y="0"/>
                    <a:ext cx="2637155" cy="845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34FFC"/>
    <w:multiLevelType w:val="hybridMultilevel"/>
    <w:tmpl w:val="00505E0A"/>
    <w:lvl w:ilvl="0" w:tplc="BD1EA94A">
      <w:numFmt w:val="bullet"/>
      <w:lvlText w:val="-"/>
      <w:lvlJc w:val="left"/>
      <w:pPr>
        <w:ind w:left="-207" w:hanging="360"/>
      </w:pPr>
      <w:rPr>
        <w:rFonts w:ascii="Arial" w:eastAsia="Times New Roman" w:hAnsi="Arial" w:cs="Arial" w:hint="default"/>
      </w:rPr>
    </w:lvl>
    <w:lvl w:ilvl="1" w:tplc="0C0A0003" w:tentative="1">
      <w:start w:val="1"/>
      <w:numFmt w:val="bullet"/>
      <w:lvlText w:val="o"/>
      <w:lvlJc w:val="left"/>
      <w:pPr>
        <w:ind w:left="513" w:hanging="360"/>
      </w:pPr>
      <w:rPr>
        <w:rFonts w:ascii="Courier New" w:hAnsi="Courier New" w:cs="Courier New" w:hint="default"/>
      </w:rPr>
    </w:lvl>
    <w:lvl w:ilvl="2" w:tplc="0C0A0005" w:tentative="1">
      <w:start w:val="1"/>
      <w:numFmt w:val="bullet"/>
      <w:lvlText w:val=""/>
      <w:lvlJc w:val="left"/>
      <w:pPr>
        <w:ind w:left="1233" w:hanging="360"/>
      </w:pPr>
      <w:rPr>
        <w:rFonts w:ascii="Wingdings" w:hAnsi="Wingdings" w:hint="default"/>
      </w:rPr>
    </w:lvl>
    <w:lvl w:ilvl="3" w:tplc="0C0A0001" w:tentative="1">
      <w:start w:val="1"/>
      <w:numFmt w:val="bullet"/>
      <w:lvlText w:val=""/>
      <w:lvlJc w:val="left"/>
      <w:pPr>
        <w:ind w:left="1953" w:hanging="360"/>
      </w:pPr>
      <w:rPr>
        <w:rFonts w:ascii="Symbol" w:hAnsi="Symbol" w:hint="default"/>
      </w:rPr>
    </w:lvl>
    <w:lvl w:ilvl="4" w:tplc="0C0A0003" w:tentative="1">
      <w:start w:val="1"/>
      <w:numFmt w:val="bullet"/>
      <w:lvlText w:val="o"/>
      <w:lvlJc w:val="left"/>
      <w:pPr>
        <w:ind w:left="2673" w:hanging="360"/>
      </w:pPr>
      <w:rPr>
        <w:rFonts w:ascii="Courier New" w:hAnsi="Courier New" w:cs="Courier New" w:hint="default"/>
      </w:rPr>
    </w:lvl>
    <w:lvl w:ilvl="5" w:tplc="0C0A0005" w:tentative="1">
      <w:start w:val="1"/>
      <w:numFmt w:val="bullet"/>
      <w:lvlText w:val=""/>
      <w:lvlJc w:val="left"/>
      <w:pPr>
        <w:ind w:left="3393" w:hanging="360"/>
      </w:pPr>
      <w:rPr>
        <w:rFonts w:ascii="Wingdings" w:hAnsi="Wingdings" w:hint="default"/>
      </w:rPr>
    </w:lvl>
    <w:lvl w:ilvl="6" w:tplc="0C0A0001" w:tentative="1">
      <w:start w:val="1"/>
      <w:numFmt w:val="bullet"/>
      <w:lvlText w:val=""/>
      <w:lvlJc w:val="left"/>
      <w:pPr>
        <w:ind w:left="4113" w:hanging="360"/>
      </w:pPr>
      <w:rPr>
        <w:rFonts w:ascii="Symbol" w:hAnsi="Symbol" w:hint="default"/>
      </w:rPr>
    </w:lvl>
    <w:lvl w:ilvl="7" w:tplc="0C0A0003" w:tentative="1">
      <w:start w:val="1"/>
      <w:numFmt w:val="bullet"/>
      <w:lvlText w:val="o"/>
      <w:lvlJc w:val="left"/>
      <w:pPr>
        <w:ind w:left="4833" w:hanging="360"/>
      </w:pPr>
      <w:rPr>
        <w:rFonts w:ascii="Courier New" w:hAnsi="Courier New" w:cs="Courier New" w:hint="default"/>
      </w:rPr>
    </w:lvl>
    <w:lvl w:ilvl="8" w:tplc="0C0A0005" w:tentative="1">
      <w:start w:val="1"/>
      <w:numFmt w:val="bullet"/>
      <w:lvlText w:val=""/>
      <w:lvlJc w:val="left"/>
      <w:pPr>
        <w:ind w:left="5553" w:hanging="360"/>
      </w:pPr>
      <w:rPr>
        <w:rFonts w:ascii="Wingdings" w:hAnsi="Wingdings" w:hint="default"/>
      </w:rPr>
    </w:lvl>
  </w:abstractNum>
  <w:abstractNum w:abstractNumId="1" w15:restartNumberingAfterBreak="0">
    <w:nsid w:val="361A49E0"/>
    <w:multiLevelType w:val="hybridMultilevel"/>
    <w:tmpl w:val="AD4266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2FB2118"/>
    <w:multiLevelType w:val="hybridMultilevel"/>
    <w:tmpl w:val="99608038"/>
    <w:lvl w:ilvl="0" w:tplc="82D6CBA0">
      <w:start w:val="1"/>
      <w:numFmt w:val="decimal"/>
      <w:lvlText w:val="%1."/>
      <w:lvlJc w:val="left"/>
      <w:pPr>
        <w:ind w:left="1025" w:hanging="360"/>
      </w:pPr>
      <w:rPr>
        <w:rFonts w:ascii="Ubuntu" w:eastAsia="Arial" w:hAnsi="Ubuntu" w:cs="Arial" w:hint="default"/>
        <w:spacing w:val="-33"/>
        <w:w w:val="99"/>
        <w:sz w:val="24"/>
        <w:szCs w:val="24"/>
        <w:lang w:val="es-ES" w:eastAsia="es-ES" w:bidi="es-ES"/>
      </w:rPr>
    </w:lvl>
    <w:lvl w:ilvl="1" w:tplc="4AC0320E">
      <w:start w:val="1"/>
      <w:numFmt w:val="lowerLetter"/>
      <w:lvlText w:val="%2."/>
      <w:lvlJc w:val="left"/>
      <w:pPr>
        <w:ind w:left="1025" w:hanging="360"/>
      </w:pPr>
      <w:rPr>
        <w:rFonts w:ascii="Ubuntu" w:eastAsia="Arial" w:hAnsi="Ubuntu" w:cs="Arial" w:hint="default"/>
        <w:spacing w:val="-30"/>
        <w:w w:val="99"/>
        <w:sz w:val="24"/>
        <w:szCs w:val="24"/>
        <w:lang w:val="es-ES" w:eastAsia="es-ES" w:bidi="es-ES"/>
      </w:rPr>
    </w:lvl>
    <w:lvl w:ilvl="2" w:tplc="A1CC9A2A">
      <w:numFmt w:val="bullet"/>
      <w:lvlText w:val="•"/>
      <w:lvlJc w:val="left"/>
      <w:pPr>
        <w:ind w:left="2593" w:hanging="360"/>
      </w:pPr>
      <w:rPr>
        <w:rFonts w:hint="default"/>
        <w:lang w:val="es-ES" w:eastAsia="es-ES" w:bidi="es-ES"/>
      </w:rPr>
    </w:lvl>
    <w:lvl w:ilvl="3" w:tplc="EDCC3852">
      <w:numFmt w:val="bullet"/>
      <w:lvlText w:val="•"/>
      <w:lvlJc w:val="left"/>
      <w:pPr>
        <w:ind w:left="3379" w:hanging="360"/>
      </w:pPr>
      <w:rPr>
        <w:rFonts w:hint="default"/>
        <w:lang w:val="es-ES" w:eastAsia="es-ES" w:bidi="es-ES"/>
      </w:rPr>
    </w:lvl>
    <w:lvl w:ilvl="4" w:tplc="E98098FE">
      <w:numFmt w:val="bullet"/>
      <w:lvlText w:val="•"/>
      <w:lvlJc w:val="left"/>
      <w:pPr>
        <w:ind w:left="4166" w:hanging="360"/>
      </w:pPr>
      <w:rPr>
        <w:rFonts w:hint="default"/>
        <w:lang w:val="es-ES" w:eastAsia="es-ES" w:bidi="es-ES"/>
      </w:rPr>
    </w:lvl>
    <w:lvl w:ilvl="5" w:tplc="CA9A2738">
      <w:numFmt w:val="bullet"/>
      <w:lvlText w:val="•"/>
      <w:lvlJc w:val="left"/>
      <w:pPr>
        <w:ind w:left="4953" w:hanging="360"/>
      </w:pPr>
      <w:rPr>
        <w:rFonts w:hint="default"/>
        <w:lang w:val="es-ES" w:eastAsia="es-ES" w:bidi="es-ES"/>
      </w:rPr>
    </w:lvl>
    <w:lvl w:ilvl="6" w:tplc="0342487C">
      <w:numFmt w:val="bullet"/>
      <w:lvlText w:val="•"/>
      <w:lvlJc w:val="left"/>
      <w:pPr>
        <w:ind w:left="5739" w:hanging="360"/>
      </w:pPr>
      <w:rPr>
        <w:rFonts w:hint="default"/>
        <w:lang w:val="es-ES" w:eastAsia="es-ES" w:bidi="es-ES"/>
      </w:rPr>
    </w:lvl>
    <w:lvl w:ilvl="7" w:tplc="53E87FAE">
      <w:numFmt w:val="bullet"/>
      <w:lvlText w:val="•"/>
      <w:lvlJc w:val="left"/>
      <w:pPr>
        <w:ind w:left="6526" w:hanging="360"/>
      </w:pPr>
      <w:rPr>
        <w:rFonts w:hint="default"/>
        <w:lang w:val="es-ES" w:eastAsia="es-ES" w:bidi="es-ES"/>
      </w:rPr>
    </w:lvl>
    <w:lvl w:ilvl="8" w:tplc="BF825A8C">
      <w:numFmt w:val="bullet"/>
      <w:lvlText w:val="•"/>
      <w:lvlJc w:val="left"/>
      <w:pPr>
        <w:ind w:left="7313" w:hanging="360"/>
      </w:pPr>
      <w:rPr>
        <w:rFonts w:hint="default"/>
        <w:lang w:val="es-ES" w:eastAsia="es-ES" w:bidi="es-ES"/>
      </w:rPr>
    </w:lvl>
  </w:abstractNum>
  <w:abstractNum w:abstractNumId="3" w15:restartNumberingAfterBreak="0">
    <w:nsid w:val="5DD92420"/>
    <w:multiLevelType w:val="hybridMultilevel"/>
    <w:tmpl w:val="14045E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6A9067D7"/>
    <w:multiLevelType w:val="hybridMultilevel"/>
    <w:tmpl w:val="C4B6FD32"/>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77A"/>
    <w:rsid w:val="000017C2"/>
    <w:rsid w:val="00003BCC"/>
    <w:rsid w:val="000200A3"/>
    <w:rsid w:val="00020FB1"/>
    <w:rsid w:val="00022F13"/>
    <w:rsid w:val="00025D72"/>
    <w:rsid w:val="00032ECA"/>
    <w:rsid w:val="00054BB6"/>
    <w:rsid w:val="00056328"/>
    <w:rsid w:val="00060635"/>
    <w:rsid w:val="0006490F"/>
    <w:rsid w:val="00066ACD"/>
    <w:rsid w:val="00086ADA"/>
    <w:rsid w:val="00091EC3"/>
    <w:rsid w:val="00096B0D"/>
    <w:rsid w:val="000A63FD"/>
    <w:rsid w:val="000B1D44"/>
    <w:rsid w:val="000B513B"/>
    <w:rsid w:val="000B5225"/>
    <w:rsid w:val="000C004F"/>
    <w:rsid w:val="000C3CDF"/>
    <w:rsid w:val="000D26AB"/>
    <w:rsid w:val="000F0BF6"/>
    <w:rsid w:val="000F23FE"/>
    <w:rsid w:val="000F68FA"/>
    <w:rsid w:val="000F6FD2"/>
    <w:rsid w:val="00101C37"/>
    <w:rsid w:val="00107021"/>
    <w:rsid w:val="00115CB4"/>
    <w:rsid w:val="001442BF"/>
    <w:rsid w:val="0014559E"/>
    <w:rsid w:val="0017552C"/>
    <w:rsid w:val="00180B3D"/>
    <w:rsid w:val="00183CF6"/>
    <w:rsid w:val="00192050"/>
    <w:rsid w:val="001A2442"/>
    <w:rsid w:val="001A2BD9"/>
    <w:rsid w:val="001B12DB"/>
    <w:rsid w:val="001C27DA"/>
    <w:rsid w:val="001C4462"/>
    <w:rsid w:val="001C49E5"/>
    <w:rsid w:val="001C696F"/>
    <w:rsid w:val="001C6D2F"/>
    <w:rsid w:val="001E7FA3"/>
    <w:rsid w:val="00200A8B"/>
    <w:rsid w:val="0020283A"/>
    <w:rsid w:val="00223602"/>
    <w:rsid w:val="002261D2"/>
    <w:rsid w:val="00230ADC"/>
    <w:rsid w:val="0023258B"/>
    <w:rsid w:val="00246299"/>
    <w:rsid w:val="00265948"/>
    <w:rsid w:val="00274841"/>
    <w:rsid w:val="00280E63"/>
    <w:rsid w:val="002900FB"/>
    <w:rsid w:val="002A663B"/>
    <w:rsid w:val="002A6923"/>
    <w:rsid w:val="002B04A0"/>
    <w:rsid w:val="002B3852"/>
    <w:rsid w:val="002B50B0"/>
    <w:rsid w:val="002D162A"/>
    <w:rsid w:val="002D4A47"/>
    <w:rsid w:val="002F2872"/>
    <w:rsid w:val="002F59F5"/>
    <w:rsid w:val="00324923"/>
    <w:rsid w:val="00327F08"/>
    <w:rsid w:val="00333AE3"/>
    <w:rsid w:val="00344D98"/>
    <w:rsid w:val="00345311"/>
    <w:rsid w:val="003461DA"/>
    <w:rsid w:val="00356190"/>
    <w:rsid w:val="00357F04"/>
    <w:rsid w:val="00357F36"/>
    <w:rsid w:val="00364000"/>
    <w:rsid w:val="00364A73"/>
    <w:rsid w:val="003748E8"/>
    <w:rsid w:val="003B6B10"/>
    <w:rsid w:val="003C55D1"/>
    <w:rsid w:val="003D4EFA"/>
    <w:rsid w:val="003F3B43"/>
    <w:rsid w:val="003F7CFF"/>
    <w:rsid w:val="00401FDA"/>
    <w:rsid w:val="00404426"/>
    <w:rsid w:val="00410A92"/>
    <w:rsid w:val="004207A0"/>
    <w:rsid w:val="00431261"/>
    <w:rsid w:val="00433A70"/>
    <w:rsid w:val="00437303"/>
    <w:rsid w:val="00452C47"/>
    <w:rsid w:val="0045453F"/>
    <w:rsid w:val="00461419"/>
    <w:rsid w:val="00465CAA"/>
    <w:rsid w:val="00477679"/>
    <w:rsid w:val="0049077A"/>
    <w:rsid w:val="004A22C7"/>
    <w:rsid w:val="004A2DFA"/>
    <w:rsid w:val="004A4E01"/>
    <w:rsid w:val="004A5616"/>
    <w:rsid w:val="004C0064"/>
    <w:rsid w:val="004C6D2A"/>
    <w:rsid w:val="004C7101"/>
    <w:rsid w:val="004D3A0E"/>
    <w:rsid w:val="004D75EC"/>
    <w:rsid w:val="004D7D84"/>
    <w:rsid w:val="004E0113"/>
    <w:rsid w:val="004E23F4"/>
    <w:rsid w:val="004F041C"/>
    <w:rsid w:val="00531530"/>
    <w:rsid w:val="005544C8"/>
    <w:rsid w:val="00557535"/>
    <w:rsid w:val="00562475"/>
    <w:rsid w:val="00576E46"/>
    <w:rsid w:val="00586E34"/>
    <w:rsid w:val="005A060E"/>
    <w:rsid w:val="005A6AB8"/>
    <w:rsid w:val="005B27DC"/>
    <w:rsid w:val="005B3D73"/>
    <w:rsid w:val="005C3EE3"/>
    <w:rsid w:val="005D250A"/>
    <w:rsid w:val="005D6458"/>
    <w:rsid w:val="005E022B"/>
    <w:rsid w:val="005F15EA"/>
    <w:rsid w:val="005F2A59"/>
    <w:rsid w:val="005F66E8"/>
    <w:rsid w:val="00603182"/>
    <w:rsid w:val="00610A30"/>
    <w:rsid w:val="00623B95"/>
    <w:rsid w:val="00625C3E"/>
    <w:rsid w:val="0063473B"/>
    <w:rsid w:val="00640BF3"/>
    <w:rsid w:val="00664529"/>
    <w:rsid w:val="006767B3"/>
    <w:rsid w:val="00680F3F"/>
    <w:rsid w:val="0068153F"/>
    <w:rsid w:val="006957F3"/>
    <w:rsid w:val="006A334C"/>
    <w:rsid w:val="006B56D3"/>
    <w:rsid w:val="006D0193"/>
    <w:rsid w:val="006E26A8"/>
    <w:rsid w:val="006F6BF2"/>
    <w:rsid w:val="0070152C"/>
    <w:rsid w:val="007019A8"/>
    <w:rsid w:val="00702395"/>
    <w:rsid w:val="00705272"/>
    <w:rsid w:val="00722DC5"/>
    <w:rsid w:val="00723CA9"/>
    <w:rsid w:val="00735B5B"/>
    <w:rsid w:val="007514BE"/>
    <w:rsid w:val="0077069D"/>
    <w:rsid w:val="00795275"/>
    <w:rsid w:val="007C3515"/>
    <w:rsid w:val="007D7E33"/>
    <w:rsid w:val="007E2555"/>
    <w:rsid w:val="0081569B"/>
    <w:rsid w:val="00823C71"/>
    <w:rsid w:val="00830BE6"/>
    <w:rsid w:val="00833DB8"/>
    <w:rsid w:val="00841359"/>
    <w:rsid w:val="0085649D"/>
    <w:rsid w:val="008667F7"/>
    <w:rsid w:val="00872490"/>
    <w:rsid w:val="00895171"/>
    <w:rsid w:val="00897627"/>
    <w:rsid w:val="008A6F91"/>
    <w:rsid w:val="008B22B7"/>
    <w:rsid w:val="008B41BB"/>
    <w:rsid w:val="008C4326"/>
    <w:rsid w:val="008C5B34"/>
    <w:rsid w:val="008E4EAE"/>
    <w:rsid w:val="008F0336"/>
    <w:rsid w:val="008F1E0D"/>
    <w:rsid w:val="008F2E11"/>
    <w:rsid w:val="00903846"/>
    <w:rsid w:val="00903E90"/>
    <w:rsid w:val="00905E77"/>
    <w:rsid w:val="009129F8"/>
    <w:rsid w:val="00942597"/>
    <w:rsid w:val="00943B00"/>
    <w:rsid w:val="0094622D"/>
    <w:rsid w:val="00950FA2"/>
    <w:rsid w:val="00960259"/>
    <w:rsid w:val="00961608"/>
    <w:rsid w:val="0096208B"/>
    <w:rsid w:val="00964C4A"/>
    <w:rsid w:val="00966A21"/>
    <w:rsid w:val="00976107"/>
    <w:rsid w:val="009804F2"/>
    <w:rsid w:val="0098055D"/>
    <w:rsid w:val="00987039"/>
    <w:rsid w:val="009911BC"/>
    <w:rsid w:val="009B2B02"/>
    <w:rsid w:val="009B5EDF"/>
    <w:rsid w:val="009B6ADC"/>
    <w:rsid w:val="009B6EA3"/>
    <w:rsid w:val="009C069E"/>
    <w:rsid w:val="009D0C0A"/>
    <w:rsid w:val="009E1A49"/>
    <w:rsid w:val="00A07260"/>
    <w:rsid w:val="00A1043F"/>
    <w:rsid w:val="00A21934"/>
    <w:rsid w:val="00A23522"/>
    <w:rsid w:val="00A431DC"/>
    <w:rsid w:val="00A60021"/>
    <w:rsid w:val="00A64D6E"/>
    <w:rsid w:val="00A7051C"/>
    <w:rsid w:val="00A72310"/>
    <w:rsid w:val="00A80B0C"/>
    <w:rsid w:val="00A92DB3"/>
    <w:rsid w:val="00A96FC5"/>
    <w:rsid w:val="00A97F20"/>
    <w:rsid w:val="00A97FC3"/>
    <w:rsid w:val="00AB2F4B"/>
    <w:rsid w:val="00AC719A"/>
    <w:rsid w:val="00AF4779"/>
    <w:rsid w:val="00AF70ED"/>
    <w:rsid w:val="00B015E8"/>
    <w:rsid w:val="00B07815"/>
    <w:rsid w:val="00B10BC2"/>
    <w:rsid w:val="00B1230D"/>
    <w:rsid w:val="00B14889"/>
    <w:rsid w:val="00B161C1"/>
    <w:rsid w:val="00B1698A"/>
    <w:rsid w:val="00B23F8D"/>
    <w:rsid w:val="00B54F8B"/>
    <w:rsid w:val="00B561B1"/>
    <w:rsid w:val="00B578B9"/>
    <w:rsid w:val="00B6128C"/>
    <w:rsid w:val="00B6463B"/>
    <w:rsid w:val="00B677B8"/>
    <w:rsid w:val="00B81750"/>
    <w:rsid w:val="00B8550D"/>
    <w:rsid w:val="00B97AD2"/>
    <w:rsid w:val="00BB1889"/>
    <w:rsid w:val="00BB21B5"/>
    <w:rsid w:val="00BB446C"/>
    <w:rsid w:val="00BB4A34"/>
    <w:rsid w:val="00BB7568"/>
    <w:rsid w:val="00BE2314"/>
    <w:rsid w:val="00BE4F29"/>
    <w:rsid w:val="00BE5890"/>
    <w:rsid w:val="00C16320"/>
    <w:rsid w:val="00C22B1F"/>
    <w:rsid w:val="00C24599"/>
    <w:rsid w:val="00C31513"/>
    <w:rsid w:val="00C40B2F"/>
    <w:rsid w:val="00C44E22"/>
    <w:rsid w:val="00C44E6F"/>
    <w:rsid w:val="00C63D9A"/>
    <w:rsid w:val="00C679A7"/>
    <w:rsid w:val="00C76DA1"/>
    <w:rsid w:val="00C80EC5"/>
    <w:rsid w:val="00CA010C"/>
    <w:rsid w:val="00CA4368"/>
    <w:rsid w:val="00CB3507"/>
    <w:rsid w:val="00CB68A8"/>
    <w:rsid w:val="00CE2B2B"/>
    <w:rsid w:val="00CF4B65"/>
    <w:rsid w:val="00D0373A"/>
    <w:rsid w:val="00D0558E"/>
    <w:rsid w:val="00D0737A"/>
    <w:rsid w:val="00D079EA"/>
    <w:rsid w:val="00D10AD7"/>
    <w:rsid w:val="00D1673C"/>
    <w:rsid w:val="00D23717"/>
    <w:rsid w:val="00D2629D"/>
    <w:rsid w:val="00D272A9"/>
    <w:rsid w:val="00D3028A"/>
    <w:rsid w:val="00D3060D"/>
    <w:rsid w:val="00D3346B"/>
    <w:rsid w:val="00D51C4D"/>
    <w:rsid w:val="00D55EE4"/>
    <w:rsid w:val="00D826C8"/>
    <w:rsid w:val="00D848B8"/>
    <w:rsid w:val="00D918A6"/>
    <w:rsid w:val="00D97990"/>
    <w:rsid w:val="00DC30A0"/>
    <w:rsid w:val="00DC7E9A"/>
    <w:rsid w:val="00DD2584"/>
    <w:rsid w:val="00DD2E1E"/>
    <w:rsid w:val="00DD7A96"/>
    <w:rsid w:val="00DF1DAC"/>
    <w:rsid w:val="00DF706D"/>
    <w:rsid w:val="00E03043"/>
    <w:rsid w:val="00E04A96"/>
    <w:rsid w:val="00E10252"/>
    <w:rsid w:val="00E17920"/>
    <w:rsid w:val="00E229BF"/>
    <w:rsid w:val="00E23A98"/>
    <w:rsid w:val="00E504C3"/>
    <w:rsid w:val="00E72A78"/>
    <w:rsid w:val="00EA0A74"/>
    <w:rsid w:val="00EB00D4"/>
    <w:rsid w:val="00EB03F6"/>
    <w:rsid w:val="00EC0B2B"/>
    <w:rsid w:val="00EC1EF4"/>
    <w:rsid w:val="00EE6888"/>
    <w:rsid w:val="00EF0C4D"/>
    <w:rsid w:val="00EF2B48"/>
    <w:rsid w:val="00EF45E4"/>
    <w:rsid w:val="00F00483"/>
    <w:rsid w:val="00F04C71"/>
    <w:rsid w:val="00F05C80"/>
    <w:rsid w:val="00F277FC"/>
    <w:rsid w:val="00F47174"/>
    <w:rsid w:val="00F55505"/>
    <w:rsid w:val="00F67DC7"/>
    <w:rsid w:val="00F7214A"/>
    <w:rsid w:val="00F774E3"/>
    <w:rsid w:val="00F93F03"/>
    <w:rsid w:val="00FD2B93"/>
    <w:rsid w:val="00FE4800"/>
    <w:rsid w:val="00FF402F"/>
    <w:rsid w:val="00FF50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A5BFA6"/>
  <w14:defaultImageDpi w14:val="96"/>
  <w15:docId w15:val="{BDE165FC-2659-42F9-9345-7963B51A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style>
  <w:style w:type="paragraph" w:styleId="Ttulo3">
    <w:name w:val="heading 3"/>
    <w:basedOn w:val="Normal"/>
    <w:link w:val="Ttulo3Car"/>
    <w:uiPriority w:val="9"/>
    <w:unhideWhenUsed/>
    <w:qFormat/>
    <w:locked/>
    <w:rsid w:val="005D250A"/>
    <w:pPr>
      <w:spacing w:before="100" w:beforeAutospacing="1" w:after="100" w:afterAutospacing="1" w:line="240" w:lineRule="auto"/>
      <w:outlineLvl w:val="2"/>
    </w:pPr>
    <w:rPr>
      <w:rFonts w:ascii="Times New Roman" w:hAnsi="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9077A"/>
    <w:pPr>
      <w:tabs>
        <w:tab w:val="center" w:pos="4252"/>
        <w:tab w:val="right" w:pos="8504"/>
      </w:tabs>
    </w:pPr>
  </w:style>
  <w:style w:type="character" w:customStyle="1" w:styleId="EncabezadoCar">
    <w:name w:val="Encabezado Car"/>
    <w:basedOn w:val="Fuentedeprrafopredeter"/>
    <w:link w:val="Encabezado"/>
    <w:uiPriority w:val="99"/>
    <w:locked/>
    <w:rsid w:val="0049077A"/>
    <w:rPr>
      <w:rFonts w:cs="Times New Roman"/>
    </w:rPr>
  </w:style>
  <w:style w:type="paragraph" w:styleId="Piedepgina">
    <w:name w:val="footer"/>
    <w:basedOn w:val="Normal"/>
    <w:link w:val="PiedepginaCar"/>
    <w:uiPriority w:val="99"/>
    <w:rsid w:val="0049077A"/>
    <w:pPr>
      <w:tabs>
        <w:tab w:val="center" w:pos="4252"/>
        <w:tab w:val="right" w:pos="8504"/>
      </w:tabs>
    </w:pPr>
  </w:style>
  <w:style w:type="character" w:customStyle="1" w:styleId="PiedepginaCar">
    <w:name w:val="Pie de página Car"/>
    <w:basedOn w:val="Fuentedeprrafopredeter"/>
    <w:link w:val="Piedepgina"/>
    <w:uiPriority w:val="99"/>
    <w:locked/>
    <w:rsid w:val="0049077A"/>
    <w:rPr>
      <w:rFonts w:cs="Times New Roman"/>
    </w:rPr>
  </w:style>
  <w:style w:type="paragraph" w:styleId="Prrafodelista">
    <w:name w:val="List Paragraph"/>
    <w:basedOn w:val="Normal"/>
    <w:uiPriority w:val="34"/>
    <w:qFormat/>
    <w:rsid w:val="00DD7A96"/>
    <w:pPr>
      <w:ind w:left="720"/>
      <w:contextualSpacing/>
    </w:pPr>
  </w:style>
  <w:style w:type="paragraph" w:styleId="NormalWeb">
    <w:name w:val="Normal (Web)"/>
    <w:basedOn w:val="Normal"/>
    <w:uiPriority w:val="99"/>
    <w:semiHidden/>
    <w:unhideWhenUsed/>
    <w:rsid w:val="00096B0D"/>
    <w:pPr>
      <w:spacing w:before="100" w:beforeAutospacing="1" w:after="100" w:afterAutospacing="1" w:line="240" w:lineRule="auto"/>
    </w:pPr>
    <w:rPr>
      <w:rFonts w:ascii="Times New Roman" w:hAnsi="Times New Roman"/>
      <w:sz w:val="24"/>
      <w:szCs w:val="24"/>
    </w:rPr>
  </w:style>
  <w:style w:type="character" w:styleId="Hipervnculo">
    <w:name w:val="Hyperlink"/>
    <w:basedOn w:val="Fuentedeprrafopredeter"/>
    <w:uiPriority w:val="99"/>
    <w:unhideWhenUsed/>
    <w:rsid w:val="002900FB"/>
    <w:rPr>
      <w:color w:val="0000FF"/>
      <w:u w:val="single"/>
    </w:rPr>
  </w:style>
  <w:style w:type="paragraph" w:styleId="Textodeglobo">
    <w:name w:val="Balloon Text"/>
    <w:basedOn w:val="Normal"/>
    <w:link w:val="TextodegloboCar"/>
    <w:uiPriority w:val="99"/>
    <w:semiHidden/>
    <w:unhideWhenUsed/>
    <w:rsid w:val="00EC1E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1EF4"/>
    <w:rPr>
      <w:rFonts w:ascii="Segoe UI" w:hAnsi="Segoe UI" w:cs="Segoe UI"/>
      <w:sz w:val="18"/>
      <w:szCs w:val="18"/>
    </w:rPr>
  </w:style>
  <w:style w:type="paragraph" w:styleId="Textoindependiente">
    <w:name w:val="Body Text"/>
    <w:basedOn w:val="Normal"/>
    <w:link w:val="TextoindependienteCar"/>
    <w:uiPriority w:val="1"/>
    <w:qFormat/>
    <w:rsid w:val="004E23F4"/>
    <w:pPr>
      <w:widowControl w:val="0"/>
      <w:autoSpaceDE w:val="0"/>
      <w:autoSpaceDN w:val="0"/>
      <w:spacing w:after="0" w:line="240" w:lineRule="auto"/>
    </w:pPr>
    <w:rPr>
      <w:rFonts w:ascii="Arial" w:eastAsia="Arial" w:hAnsi="Arial" w:cs="Arial"/>
      <w:sz w:val="24"/>
      <w:szCs w:val="24"/>
      <w:lang w:bidi="es-ES"/>
    </w:rPr>
  </w:style>
  <w:style w:type="character" w:customStyle="1" w:styleId="TextoindependienteCar">
    <w:name w:val="Texto independiente Car"/>
    <w:basedOn w:val="Fuentedeprrafopredeter"/>
    <w:link w:val="Textoindependiente"/>
    <w:uiPriority w:val="1"/>
    <w:rsid w:val="004E23F4"/>
    <w:rPr>
      <w:rFonts w:ascii="Arial" w:eastAsia="Arial" w:hAnsi="Arial" w:cs="Arial"/>
      <w:sz w:val="24"/>
      <w:szCs w:val="24"/>
      <w:lang w:bidi="es-ES"/>
    </w:rPr>
  </w:style>
  <w:style w:type="character" w:styleId="nfasis">
    <w:name w:val="Emphasis"/>
    <w:basedOn w:val="Fuentedeprrafopredeter"/>
    <w:uiPriority w:val="20"/>
    <w:qFormat/>
    <w:locked/>
    <w:rsid w:val="00274841"/>
    <w:rPr>
      <w:i/>
      <w:iCs/>
    </w:rPr>
  </w:style>
  <w:style w:type="character" w:customStyle="1" w:styleId="Mencinsinresolver1">
    <w:name w:val="Mención sin resolver1"/>
    <w:basedOn w:val="Fuentedeprrafopredeter"/>
    <w:uiPriority w:val="99"/>
    <w:semiHidden/>
    <w:unhideWhenUsed/>
    <w:rsid w:val="004A5616"/>
    <w:rPr>
      <w:color w:val="605E5C"/>
      <w:shd w:val="clear" w:color="auto" w:fill="E1DFDD"/>
    </w:rPr>
  </w:style>
  <w:style w:type="character" w:styleId="Textoennegrita">
    <w:name w:val="Strong"/>
    <w:basedOn w:val="Fuentedeprrafopredeter"/>
    <w:uiPriority w:val="22"/>
    <w:qFormat/>
    <w:locked/>
    <w:rsid w:val="000F0BF6"/>
    <w:rPr>
      <w:b/>
      <w:bCs/>
    </w:rPr>
  </w:style>
  <w:style w:type="paragraph" w:customStyle="1" w:styleId="Default">
    <w:name w:val="Default"/>
    <w:rsid w:val="00A23522"/>
    <w:pPr>
      <w:autoSpaceDE w:val="0"/>
      <w:autoSpaceDN w:val="0"/>
      <w:adjustRightInd w:val="0"/>
      <w:spacing w:after="0" w:line="240" w:lineRule="auto"/>
    </w:pPr>
    <w:rPr>
      <w:rFonts w:ascii="Source Sans Pro" w:eastAsia="Calibri" w:hAnsi="Source Sans Pro" w:cs="Source Sans Pro"/>
      <w:color w:val="000000"/>
      <w:sz w:val="24"/>
      <w:szCs w:val="24"/>
      <w:lang w:eastAsia="en-US"/>
    </w:rPr>
  </w:style>
  <w:style w:type="character" w:customStyle="1" w:styleId="Ttulo3Car">
    <w:name w:val="Título 3 Car"/>
    <w:basedOn w:val="Fuentedeprrafopredeter"/>
    <w:link w:val="Ttulo3"/>
    <w:uiPriority w:val="9"/>
    <w:rsid w:val="005D250A"/>
    <w:rPr>
      <w:rFonts w:ascii="Times New Roman" w:hAnsi="Times New Roman"/>
      <w:b/>
      <w:bCs/>
      <w:sz w:val="27"/>
      <w:szCs w:val="27"/>
    </w:rPr>
  </w:style>
  <w:style w:type="character" w:styleId="Hipervnculovisitado">
    <w:name w:val="FollowedHyperlink"/>
    <w:basedOn w:val="Fuentedeprrafopredeter"/>
    <w:uiPriority w:val="99"/>
    <w:semiHidden/>
    <w:unhideWhenUsed/>
    <w:rsid w:val="00872490"/>
    <w:rPr>
      <w:color w:val="954F72" w:themeColor="followedHyperlink"/>
      <w:u w:val="single"/>
    </w:rPr>
  </w:style>
  <w:style w:type="character" w:styleId="Refdecomentario">
    <w:name w:val="annotation reference"/>
    <w:basedOn w:val="Fuentedeprrafopredeter"/>
    <w:uiPriority w:val="99"/>
    <w:semiHidden/>
    <w:unhideWhenUsed/>
    <w:rsid w:val="006767B3"/>
    <w:rPr>
      <w:sz w:val="16"/>
      <w:szCs w:val="16"/>
    </w:rPr>
  </w:style>
  <w:style w:type="paragraph" w:styleId="Textocomentario">
    <w:name w:val="annotation text"/>
    <w:basedOn w:val="Normal"/>
    <w:link w:val="TextocomentarioCar"/>
    <w:uiPriority w:val="99"/>
    <w:semiHidden/>
    <w:unhideWhenUsed/>
    <w:rsid w:val="006767B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767B3"/>
    <w:rPr>
      <w:sz w:val="20"/>
      <w:szCs w:val="20"/>
    </w:rPr>
  </w:style>
  <w:style w:type="paragraph" w:styleId="Asuntodelcomentario">
    <w:name w:val="annotation subject"/>
    <w:basedOn w:val="Textocomentario"/>
    <w:next w:val="Textocomentario"/>
    <w:link w:val="AsuntodelcomentarioCar"/>
    <w:uiPriority w:val="99"/>
    <w:semiHidden/>
    <w:unhideWhenUsed/>
    <w:rsid w:val="006767B3"/>
    <w:rPr>
      <w:b/>
      <w:bCs/>
    </w:rPr>
  </w:style>
  <w:style w:type="character" w:customStyle="1" w:styleId="AsuntodelcomentarioCar">
    <w:name w:val="Asunto del comentario Car"/>
    <w:basedOn w:val="TextocomentarioCar"/>
    <w:link w:val="Asuntodelcomentario"/>
    <w:uiPriority w:val="99"/>
    <w:semiHidden/>
    <w:rsid w:val="006767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81411">
      <w:bodyDiv w:val="1"/>
      <w:marLeft w:val="0"/>
      <w:marRight w:val="0"/>
      <w:marTop w:val="0"/>
      <w:marBottom w:val="0"/>
      <w:divBdr>
        <w:top w:val="none" w:sz="0" w:space="0" w:color="auto"/>
        <w:left w:val="none" w:sz="0" w:space="0" w:color="auto"/>
        <w:bottom w:val="none" w:sz="0" w:space="0" w:color="auto"/>
        <w:right w:val="none" w:sz="0" w:space="0" w:color="auto"/>
      </w:divBdr>
    </w:div>
    <w:div w:id="531109013">
      <w:bodyDiv w:val="1"/>
      <w:marLeft w:val="0"/>
      <w:marRight w:val="0"/>
      <w:marTop w:val="0"/>
      <w:marBottom w:val="0"/>
      <w:divBdr>
        <w:top w:val="none" w:sz="0" w:space="0" w:color="auto"/>
        <w:left w:val="none" w:sz="0" w:space="0" w:color="auto"/>
        <w:bottom w:val="none" w:sz="0" w:space="0" w:color="auto"/>
        <w:right w:val="none" w:sz="0" w:space="0" w:color="auto"/>
      </w:divBdr>
    </w:div>
    <w:div w:id="569773969">
      <w:bodyDiv w:val="1"/>
      <w:marLeft w:val="0"/>
      <w:marRight w:val="0"/>
      <w:marTop w:val="0"/>
      <w:marBottom w:val="0"/>
      <w:divBdr>
        <w:top w:val="none" w:sz="0" w:space="0" w:color="auto"/>
        <w:left w:val="none" w:sz="0" w:space="0" w:color="auto"/>
        <w:bottom w:val="none" w:sz="0" w:space="0" w:color="auto"/>
        <w:right w:val="none" w:sz="0" w:space="0" w:color="auto"/>
      </w:divBdr>
    </w:div>
    <w:div w:id="677926426">
      <w:bodyDiv w:val="1"/>
      <w:marLeft w:val="0"/>
      <w:marRight w:val="0"/>
      <w:marTop w:val="0"/>
      <w:marBottom w:val="0"/>
      <w:divBdr>
        <w:top w:val="none" w:sz="0" w:space="0" w:color="auto"/>
        <w:left w:val="none" w:sz="0" w:space="0" w:color="auto"/>
        <w:bottom w:val="none" w:sz="0" w:space="0" w:color="auto"/>
        <w:right w:val="none" w:sz="0" w:space="0" w:color="auto"/>
      </w:divBdr>
    </w:div>
    <w:div w:id="702898057">
      <w:bodyDiv w:val="1"/>
      <w:marLeft w:val="0"/>
      <w:marRight w:val="0"/>
      <w:marTop w:val="0"/>
      <w:marBottom w:val="0"/>
      <w:divBdr>
        <w:top w:val="none" w:sz="0" w:space="0" w:color="auto"/>
        <w:left w:val="none" w:sz="0" w:space="0" w:color="auto"/>
        <w:bottom w:val="none" w:sz="0" w:space="0" w:color="auto"/>
        <w:right w:val="none" w:sz="0" w:space="0" w:color="auto"/>
      </w:divBdr>
    </w:div>
    <w:div w:id="887573514">
      <w:bodyDiv w:val="1"/>
      <w:marLeft w:val="0"/>
      <w:marRight w:val="0"/>
      <w:marTop w:val="0"/>
      <w:marBottom w:val="0"/>
      <w:divBdr>
        <w:top w:val="none" w:sz="0" w:space="0" w:color="auto"/>
        <w:left w:val="none" w:sz="0" w:space="0" w:color="auto"/>
        <w:bottom w:val="none" w:sz="0" w:space="0" w:color="auto"/>
        <w:right w:val="none" w:sz="0" w:space="0" w:color="auto"/>
      </w:divBdr>
    </w:div>
    <w:div w:id="926768505">
      <w:bodyDiv w:val="1"/>
      <w:marLeft w:val="0"/>
      <w:marRight w:val="0"/>
      <w:marTop w:val="0"/>
      <w:marBottom w:val="0"/>
      <w:divBdr>
        <w:top w:val="none" w:sz="0" w:space="0" w:color="auto"/>
        <w:left w:val="none" w:sz="0" w:space="0" w:color="auto"/>
        <w:bottom w:val="none" w:sz="0" w:space="0" w:color="auto"/>
        <w:right w:val="none" w:sz="0" w:space="0" w:color="auto"/>
      </w:divBdr>
    </w:div>
    <w:div w:id="931013601">
      <w:bodyDiv w:val="1"/>
      <w:marLeft w:val="0"/>
      <w:marRight w:val="0"/>
      <w:marTop w:val="0"/>
      <w:marBottom w:val="0"/>
      <w:divBdr>
        <w:top w:val="none" w:sz="0" w:space="0" w:color="auto"/>
        <w:left w:val="none" w:sz="0" w:space="0" w:color="auto"/>
        <w:bottom w:val="none" w:sz="0" w:space="0" w:color="auto"/>
        <w:right w:val="none" w:sz="0" w:space="0" w:color="auto"/>
      </w:divBdr>
    </w:div>
    <w:div w:id="1083794495">
      <w:bodyDiv w:val="1"/>
      <w:marLeft w:val="0"/>
      <w:marRight w:val="0"/>
      <w:marTop w:val="0"/>
      <w:marBottom w:val="0"/>
      <w:divBdr>
        <w:top w:val="none" w:sz="0" w:space="0" w:color="auto"/>
        <w:left w:val="none" w:sz="0" w:space="0" w:color="auto"/>
        <w:bottom w:val="none" w:sz="0" w:space="0" w:color="auto"/>
        <w:right w:val="none" w:sz="0" w:space="0" w:color="auto"/>
      </w:divBdr>
    </w:div>
    <w:div w:id="1187914214">
      <w:bodyDiv w:val="1"/>
      <w:marLeft w:val="0"/>
      <w:marRight w:val="0"/>
      <w:marTop w:val="0"/>
      <w:marBottom w:val="0"/>
      <w:divBdr>
        <w:top w:val="none" w:sz="0" w:space="0" w:color="auto"/>
        <w:left w:val="none" w:sz="0" w:space="0" w:color="auto"/>
        <w:bottom w:val="none" w:sz="0" w:space="0" w:color="auto"/>
        <w:right w:val="none" w:sz="0" w:space="0" w:color="auto"/>
      </w:divBdr>
    </w:div>
    <w:div w:id="1351639434">
      <w:bodyDiv w:val="1"/>
      <w:marLeft w:val="0"/>
      <w:marRight w:val="0"/>
      <w:marTop w:val="0"/>
      <w:marBottom w:val="0"/>
      <w:divBdr>
        <w:top w:val="none" w:sz="0" w:space="0" w:color="auto"/>
        <w:left w:val="none" w:sz="0" w:space="0" w:color="auto"/>
        <w:bottom w:val="none" w:sz="0" w:space="0" w:color="auto"/>
        <w:right w:val="none" w:sz="0" w:space="0" w:color="auto"/>
      </w:divBdr>
    </w:div>
    <w:div w:id="1374185444">
      <w:bodyDiv w:val="1"/>
      <w:marLeft w:val="0"/>
      <w:marRight w:val="0"/>
      <w:marTop w:val="0"/>
      <w:marBottom w:val="0"/>
      <w:divBdr>
        <w:top w:val="none" w:sz="0" w:space="0" w:color="auto"/>
        <w:left w:val="none" w:sz="0" w:space="0" w:color="auto"/>
        <w:bottom w:val="none" w:sz="0" w:space="0" w:color="auto"/>
        <w:right w:val="none" w:sz="0" w:space="0" w:color="auto"/>
      </w:divBdr>
    </w:div>
    <w:div w:id="1456414251">
      <w:bodyDiv w:val="1"/>
      <w:marLeft w:val="0"/>
      <w:marRight w:val="0"/>
      <w:marTop w:val="0"/>
      <w:marBottom w:val="0"/>
      <w:divBdr>
        <w:top w:val="none" w:sz="0" w:space="0" w:color="auto"/>
        <w:left w:val="none" w:sz="0" w:space="0" w:color="auto"/>
        <w:bottom w:val="none" w:sz="0" w:space="0" w:color="auto"/>
        <w:right w:val="none" w:sz="0" w:space="0" w:color="auto"/>
      </w:divBdr>
    </w:div>
    <w:div w:id="1577938470">
      <w:bodyDiv w:val="1"/>
      <w:marLeft w:val="0"/>
      <w:marRight w:val="0"/>
      <w:marTop w:val="0"/>
      <w:marBottom w:val="0"/>
      <w:divBdr>
        <w:top w:val="none" w:sz="0" w:space="0" w:color="auto"/>
        <w:left w:val="none" w:sz="0" w:space="0" w:color="auto"/>
        <w:bottom w:val="none" w:sz="0" w:space="0" w:color="auto"/>
        <w:right w:val="none" w:sz="0" w:space="0" w:color="auto"/>
      </w:divBdr>
    </w:div>
    <w:div w:id="1616254981">
      <w:bodyDiv w:val="1"/>
      <w:marLeft w:val="0"/>
      <w:marRight w:val="0"/>
      <w:marTop w:val="0"/>
      <w:marBottom w:val="0"/>
      <w:divBdr>
        <w:top w:val="none" w:sz="0" w:space="0" w:color="auto"/>
        <w:left w:val="none" w:sz="0" w:space="0" w:color="auto"/>
        <w:bottom w:val="none" w:sz="0" w:space="0" w:color="auto"/>
        <w:right w:val="none" w:sz="0" w:space="0" w:color="auto"/>
      </w:divBdr>
    </w:div>
    <w:div w:id="1909799569">
      <w:bodyDiv w:val="1"/>
      <w:marLeft w:val="0"/>
      <w:marRight w:val="0"/>
      <w:marTop w:val="0"/>
      <w:marBottom w:val="0"/>
      <w:divBdr>
        <w:top w:val="none" w:sz="0" w:space="0" w:color="auto"/>
        <w:left w:val="none" w:sz="0" w:space="0" w:color="auto"/>
        <w:bottom w:val="none" w:sz="0" w:space="0" w:color="auto"/>
        <w:right w:val="none" w:sz="0" w:space="0" w:color="auto"/>
      </w:divBdr>
    </w:div>
    <w:div w:id="1932229456">
      <w:bodyDiv w:val="1"/>
      <w:marLeft w:val="0"/>
      <w:marRight w:val="0"/>
      <w:marTop w:val="0"/>
      <w:marBottom w:val="0"/>
      <w:divBdr>
        <w:top w:val="none" w:sz="0" w:space="0" w:color="auto"/>
        <w:left w:val="none" w:sz="0" w:space="0" w:color="auto"/>
        <w:bottom w:val="none" w:sz="0" w:space="0" w:color="auto"/>
        <w:right w:val="none" w:sz="0" w:space="0" w:color="auto"/>
      </w:divBdr>
    </w:div>
    <w:div w:id="2061512167">
      <w:bodyDiv w:val="1"/>
      <w:marLeft w:val="0"/>
      <w:marRight w:val="0"/>
      <w:marTop w:val="0"/>
      <w:marBottom w:val="0"/>
      <w:divBdr>
        <w:top w:val="none" w:sz="0" w:space="0" w:color="auto"/>
        <w:left w:val="none" w:sz="0" w:space="0" w:color="auto"/>
        <w:bottom w:val="none" w:sz="0" w:space="0" w:color="auto"/>
        <w:right w:val="none" w:sz="0" w:space="0" w:color="auto"/>
      </w:divBdr>
    </w:div>
    <w:div w:id="214565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apfre.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solunion.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va.munoz@solunio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olunion.com" TargetMode="External"/><Relationship Id="rId4" Type="http://schemas.openxmlformats.org/officeDocument/2006/relationships/webSettings" Target="webSettings.xml"/><Relationship Id="rId9" Type="http://schemas.openxmlformats.org/officeDocument/2006/relationships/hyperlink" Target="http://www.allianz-trade.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4526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SH01 cartaC</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SH01 cartaC</dc:title>
  <dc:subject/>
  <dc:creator>Muñoz Navascues, Eva</dc:creator>
  <cp:keywords/>
  <dc:description/>
  <cp:lastModifiedBy>Aguirre Balmori, Carla</cp:lastModifiedBy>
  <cp:revision>4</cp:revision>
  <cp:lastPrinted>2021-05-14T09:15:00Z</cp:lastPrinted>
  <dcterms:created xsi:type="dcterms:W3CDTF">2022-11-21T17:30:00Z</dcterms:created>
  <dcterms:modified xsi:type="dcterms:W3CDTF">2022-11-23T14:34:00Z</dcterms:modified>
</cp:coreProperties>
</file>